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wmf" ContentType="image/x-wmf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Mkatabulky"/>
        <w:tblpPr w:bottomFromText="0" w:horzAnchor="margin" w:leftFromText="141" w:rightFromText="141" w:tblpX="-753" w:tblpY="821" w:topFromText="0" w:vertAnchor="page"/>
        <w:tblW w:w="10335" w:type="dxa"/>
        <w:jc w:val="left"/>
        <w:tblInd w:w="-3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0"/>
        <w:gridCol w:w="2235"/>
        <w:gridCol w:w="2175"/>
        <w:gridCol w:w="1485"/>
        <w:gridCol w:w="1080"/>
        <w:gridCol w:w="960"/>
      </w:tblGrid>
      <w:tr>
        <w:trPr>
          <w:trHeight w:val="8491" w:hRule="atLeast"/>
        </w:trPr>
        <w:tc>
          <w:tcPr>
            <w:tcW w:w="10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PROJEKTOVÁ DOKUMENTACE: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  <w:sz w:val="72"/>
                <w:szCs w:val="72"/>
              </w:rPr>
            </w:pPr>
            <w:bookmarkStart w:id="0" w:name="_Hlk62053846"/>
            <w:r>
              <w:rPr>
                <w:rFonts w:eastAsia="Calibri" w:cs="Times New Roman"/>
                <w:b/>
                <w:bCs/>
                <w:kern w:val="0"/>
                <w:sz w:val="72"/>
                <w:szCs w:val="72"/>
                <w:lang w:val="cs-CZ" w:eastAsia="en-US" w:bidi="ar-SA"/>
              </w:rPr>
              <w:t>REKONSTRUKCE VNĚJŠÍ OCHRANY PŘED BLESKEM</w:t>
            </w:r>
            <w:bookmarkEnd w:id="0"/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10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DOKUMENTACE PRO STAVEBNÍ POVOLENÍ</w:t>
            </w:r>
          </w:p>
        </w:tc>
      </w:tr>
      <w:tr>
        <w:trPr/>
        <w:tc>
          <w:tcPr>
            <w:tcW w:w="10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cs-CZ" w:eastAsia="en-US" w:bidi="ar-SA"/>
              </w:rPr>
              <w:t>OBJEDNATEL / INVESTOR: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Statutární město Opava,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Horní náměstí 382/69,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cs-CZ" w:eastAsia="en-US" w:bidi="ar-SA"/>
              </w:rPr>
              <w:t>746 01 Opava</w:t>
            </w:r>
          </w:p>
        </w:tc>
      </w:tr>
      <w:tr>
        <w:trPr>
          <w:trHeight w:val="557" w:hRule="atLeast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VYPRACOVAL: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Bc. Lukáš Bělíček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3525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kern w:val="0"/>
                <w:sz w:val="22"/>
                <w:szCs w:val="22"/>
                <w:lang w:val="cs-CZ" w:eastAsia="en-US" w:bidi="ar-SA"/>
              </w:rPr>
              <w:object w:dxaOrig="28425" w:dyaOrig="13515">
                <v:shapetype id="_x0000_tole_rId2" coordsize="21600,21600" o:spt="ole_rId2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" type="_x0000_tole_rId2" style="width:165.45pt;height:67.5pt;mso-wrap-distance-right:0pt" filled="f" o:ole="">
                  <v:imagedata r:id="rId3" o:title=""/>
                </v:shape>
                <o:OLEObject Type="Embed" ProgID="" ShapeID="ole_rId2" DrawAspect="Content" ObjectID="_2014053884" r:id="rId2"/>
              </w:object>
            </w:r>
          </w:p>
        </w:tc>
      </w:tr>
      <w:tr>
        <w:trPr>
          <w:trHeight w:val="552" w:hRule="atLeast"/>
        </w:trPr>
        <w:tc>
          <w:tcPr>
            <w:tcW w:w="2400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KONTROLOVAL: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Ing. Vlasta Remešová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3525" w:type="dxa"/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463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KRAJ: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MORAVSKOSLEZSKÝ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left="-149" w:firstLine="149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STAVEBNÍ ÚŘAD:</w:t>
            </w:r>
          </w:p>
          <w:p>
            <w:pPr>
              <w:pStyle w:val="Normal"/>
              <w:widowControl/>
              <w:spacing w:lineRule="auto" w:line="240" w:before="0" w:after="0"/>
              <w:ind w:left="-149" w:firstLine="149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OPAVA</w:t>
            </w:r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STUPEŇ: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DSP</w:t>
            </w:r>
          </w:p>
        </w:tc>
      </w:tr>
      <w:tr>
        <w:trPr/>
        <w:tc>
          <w:tcPr>
            <w:tcW w:w="68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NÁZEV AKCE: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cs-CZ" w:eastAsia="en-US" w:bidi="ar-SA"/>
              </w:rPr>
              <w:t>REKONSTRUKCE VNĚJŠÍ OCHRANY PŘED BLESKEM</w:t>
            </w:r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DATUM: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7.12.2023</w:t>
            </w:r>
          </w:p>
        </w:tc>
      </w:tr>
      <w:tr>
        <w:trPr/>
        <w:tc>
          <w:tcPr>
            <w:tcW w:w="6810" w:type="dxa"/>
            <w:gridSpan w:val="3"/>
            <w:vMerge w:val="continue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FORMÁT: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A4</w:t>
            </w:r>
          </w:p>
        </w:tc>
      </w:tr>
      <w:tr>
        <w:trPr/>
        <w:tc>
          <w:tcPr>
            <w:tcW w:w="6810" w:type="dxa"/>
            <w:gridSpan w:val="3"/>
            <w:vMerge w:val="continue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MĚŘÍTKO: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-</w:t>
            </w:r>
          </w:p>
        </w:tc>
      </w:tr>
      <w:tr>
        <w:trPr/>
        <w:tc>
          <w:tcPr>
            <w:tcW w:w="6810" w:type="dxa"/>
            <w:gridSpan w:val="3"/>
            <w:vMerge w:val="continue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Č. ZAKÁZKY: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202344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Č. PARÉ:</w:t>
            </w:r>
          </w:p>
        </w:tc>
      </w:tr>
      <w:tr>
        <w:trPr/>
        <w:tc>
          <w:tcPr>
            <w:tcW w:w="6810" w:type="dxa"/>
            <w:gridSpan w:val="3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SOUBOR: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DOC.</w:t>
            </w:r>
          </w:p>
        </w:tc>
        <w:tc>
          <w:tcPr>
            <w:tcW w:w="96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>
          <w:trHeight w:val="331" w:hRule="atLeast"/>
        </w:trPr>
        <w:tc>
          <w:tcPr>
            <w:tcW w:w="68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NÁZEV PŘÍLOHY: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cs-CZ" w:eastAsia="en-US" w:bidi="ar-SA"/>
              </w:rPr>
              <w:t>TECHNICKÁ ZPRÁVA + ANALÝZA RIZIKA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  <w:t>Č. PŘÍLOHY: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cs-CZ" w:eastAsia="en-US" w:bidi="ar-SA"/>
              </w:rPr>
              <w:t>202344-01</w:t>
            </w:r>
          </w:p>
        </w:tc>
      </w:tr>
    </w:tbl>
    <w:sdt>
      <w:sdtPr>
        <w:docPartObj>
          <w:docPartGallery w:val="Table of Contents"/>
          <w:docPartUnique w:val="true"/>
        </w:docPartObj>
      </w:sdtPr>
      <w:sdtContent>
        <w:p>
          <w:pPr>
            <w:pStyle w:val="Nadpisobsahu"/>
            <w:rPr/>
          </w:pPr>
          <w:r>
            <w:rPr/>
            <w:t>Obsah</w:t>
          </w:r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r>
            <w:fldChar w:fldCharType="begin"/>
          </w:r>
          <w:r>
            <w:rPr>
              <w:webHidden/>
              <w:rStyle w:val="Odkaznarejstk"/>
            </w:rPr>
            <w:instrText xml:space="preserve"> TOC \z \o "1-3" \u \h</w:instrText>
          </w:r>
          <w:r>
            <w:rPr>
              <w:webHidden/>
              <w:rStyle w:val="Odkaznarejstk"/>
            </w:rPr>
            <w:fldChar w:fldCharType="separate"/>
          </w:r>
          <w:hyperlink w:anchor="__RefHeading___Toc1941_3827876098">
            <w:r>
              <w:rPr>
                <w:webHidden/>
                <w:rStyle w:val="Odkaznarejstk"/>
              </w:rPr>
              <w:t>1. Obsah projektu</w:t>
              <w:tab/>
              <w:t>3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43_3827876098">
            <w:r>
              <w:rPr>
                <w:webHidden/>
                <w:rStyle w:val="Odkaznarejstk"/>
              </w:rPr>
              <w:t>2. Identifikační údaje stavby</w:t>
              <w:tab/>
              <w:t>3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45_3827876098">
            <w:r>
              <w:rPr>
                <w:webHidden/>
                <w:rStyle w:val="Odkaznarejstk"/>
              </w:rPr>
              <w:t>3. Seznam vstupních podkladů</w:t>
              <w:tab/>
              <w:t>3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47_3827876098">
            <w:r>
              <w:rPr>
                <w:webHidden/>
                <w:rStyle w:val="Odkaznarejstk"/>
              </w:rPr>
              <w:t>4. Přehled zkratek</w:t>
              <w:tab/>
              <w:t>3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49_3827876098">
            <w:r>
              <w:rPr>
                <w:webHidden/>
                <w:rStyle w:val="Odkaznarejstk"/>
              </w:rPr>
              <w:t>5. Normativní podklady</w:t>
              <w:tab/>
              <w:t>4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51_3827876098">
            <w:r>
              <w:rPr>
                <w:webHidden/>
                <w:rStyle w:val="Odkaznarejstk"/>
              </w:rPr>
              <w:t>6. Riziko škod a příčiny poškození</w:t>
              <w:tab/>
              <w:t>5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53_3827876098">
            <w:r>
              <w:rPr>
                <w:webHidden/>
                <w:rStyle w:val="Odkaznarejstk"/>
              </w:rPr>
              <w:t>7. Údaje o projektu</w:t>
              <w:tab/>
              <w:t>5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55_3827876098">
            <w:r>
              <w:rPr>
                <w:webHidden/>
                <w:rStyle w:val="Odkaznarejstk"/>
              </w:rPr>
              <w:t>7.1 Vyhodnocení rizik</w:t>
              <w:tab/>
              <w:t>5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57_3827876098">
            <w:r>
              <w:rPr>
                <w:webHidden/>
                <w:rStyle w:val="Odkaznarejstk"/>
              </w:rPr>
              <w:t>7.2 Poloha, včetně parametrů budovy</w:t>
              <w:tab/>
              <w:t>5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59_3827876098">
            <w:r>
              <w:rPr>
                <w:webHidden/>
                <w:rStyle w:val="Odkaznarejstk"/>
              </w:rPr>
              <w:t>7.3 Rozdělení budovy do zón ochrany před bleskem/zón</w:t>
              <w:tab/>
              <w:t>7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61_3827876098">
            <w:r>
              <w:rPr>
                <w:webHidden/>
                <w:rStyle w:val="Odkaznarejstk"/>
              </w:rPr>
              <w:t>7.4 Inženýrské sítě</w:t>
              <w:tab/>
              <w:t>7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63_3827876098">
            <w:r>
              <w:rPr>
                <w:webHidden/>
                <w:rStyle w:val="Odkaznarejstk"/>
              </w:rPr>
              <w:t>7.5 Riziko požáru</w:t>
              <w:tab/>
              <w:t>7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65_3827876098">
            <w:r>
              <w:rPr>
                <w:webHidden/>
                <w:rStyle w:val="Odkaznarejstk"/>
              </w:rPr>
              <w:t>7.6 Opatření pro snížení následku požáru</w:t>
              <w:tab/>
              <w:t>7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67_3827876098">
            <w:r>
              <w:rPr>
                <w:webHidden/>
                <w:rStyle w:val="Odkaznarejstk"/>
              </w:rPr>
              <w:t>7.7 Jiné nebezpečí v budově pro osoby</w:t>
              <w:tab/>
              <w:t>8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69_3827876098">
            <w:r>
              <w:rPr>
                <w:webHidden/>
                <w:rStyle w:val="Odkaznarejstk"/>
              </w:rPr>
              <w:t>8. Vyhodnocení rizika</w:t>
              <w:tab/>
              <w:t>8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71_3827876098">
            <w:r>
              <w:rPr>
                <w:webHidden/>
                <w:rStyle w:val="Odkaznarejstk"/>
              </w:rPr>
              <w:t>8.1 Riziko R1, lidské životy</w:t>
              <w:tab/>
              <w:t>8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73_3827876098">
            <w:r>
              <w:rPr>
                <w:webHidden/>
                <w:rStyle w:val="Odkaznarejstk"/>
              </w:rPr>
              <w:t>8.2 Riziko R2, veřejné služby</w:t>
              <w:tab/>
              <w:t>8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75_3827876098">
            <w:r>
              <w:rPr>
                <w:webHidden/>
                <w:rStyle w:val="Odkaznarejstk"/>
              </w:rPr>
              <w:t>8.3 Riziko R3, kulturní památky</w:t>
              <w:tab/>
              <w:t>9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77_3827876098">
            <w:r>
              <w:rPr>
                <w:webHidden/>
                <w:rStyle w:val="Odkaznarejstk"/>
              </w:rPr>
              <w:t>8.4 Riziko R4, ekonomické ztráty s ochrannými opatřeními</w:t>
              <w:tab/>
              <w:t>9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1979_3827876098">
            <w:r>
              <w:rPr>
                <w:webHidden/>
                <w:rStyle w:val="Odkaznarejstk"/>
              </w:rPr>
              <w:t>8.4.1 Parametry výpočtu ročních ztrát při ochranných opatřeních</w:t>
              <w:tab/>
              <w:t>9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1981_3827876098">
            <w:r>
              <w:rPr>
                <w:webHidden/>
                <w:rStyle w:val="Odkaznarejstk"/>
              </w:rPr>
              <w:t>8.4.2 Hodnota budovy, včetně následných ztrát</w:t>
              <w:tab/>
              <w:t>10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1983_3827876098">
            <w:r>
              <w:rPr>
                <w:webHidden/>
                <w:rStyle w:val="Odkaznarejstk"/>
              </w:rPr>
              <w:t>8.4.3 Vyhodnocení rizika R4</w:t>
              <w:tab/>
              <w:t>10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85_3827876098">
            <w:r>
              <w:rPr>
                <w:webHidden/>
                <w:rStyle w:val="Odkaznarejstk"/>
              </w:rPr>
              <w:t>9. Výběr ochranných opatření</w:t>
              <w:tab/>
              <w:t>11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87_3827876098">
            <w:r>
              <w:rPr>
                <w:webHidden/>
                <w:rStyle w:val="Odkaznarejstk"/>
              </w:rPr>
              <w:t>10. Právní závaznost</w:t>
              <w:tab/>
              <w:t>12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1989_3827876098">
            <w:r>
              <w:rPr>
                <w:webHidden/>
                <w:rStyle w:val="Odkaznarejstk"/>
              </w:rPr>
              <w:t>11. Všeobecné informace</w:t>
              <w:tab/>
              <w:t>12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1991_3827876098">
            <w:r>
              <w:rPr>
                <w:webHidden/>
                <w:rStyle w:val="Odkaznarejstk"/>
              </w:rPr>
              <w:t>11.1 Součásti vnější ochrany před bleskem</w:t>
              <w:tab/>
              <w:t>12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1993_3827876098">
            <w:r>
              <w:rPr>
                <w:webHidden/>
                <w:rStyle w:val="Odkaznarejstk"/>
              </w:rPr>
              <w:t>11.1.1 EN 62561-1:2012 Požadavky na spojovací součásti</w:t>
              <w:tab/>
              <w:t>12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1995_3827876098">
            <w:r>
              <w:rPr>
                <w:webHidden/>
                <w:rStyle w:val="Odkaznarejstk"/>
              </w:rPr>
              <w:t>11.1.2 EN 62561-2:2012 Požadavky na vodiče a zemniče</w:t>
              <w:tab/>
              <w:t>13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1997_3827876098">
            <w:r>
              <w:rPr>
                <w:webHidden/>
                <w:rStyle w:val="Odkaznarejstk"/>
              </w:rPr>
              <w:t>11.1.3 EN 62561-3:2012 Požadavky na oddělovací jiskřiště</w:t>
              <w:tab/>
              <w:t>13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1999_3827876098">
            <w:r>
              <w:rPr>
                <w:webHidden/>
                <w:rStyle w:val="Odkaznarejstk"/>
              </w:rPr>
              <w:t>11.1.4 EN 62561-4:2011 Požadavky na podpěry vodičů</w:t>
              <w:tab/>
              <w:t>13</w:t>
            </w:r>
          </w:hyperlink>
        </w:p>
        <w:p>
          <w:pPr>
            <w:pStyle w:val="Obsah3"/>
            <w:tabs>
              <w:tab w:val="clear" w:pos="708"/>
              <w:tab w:val="right" w:pos="9070" w:leader="dot"/>
            </w:tabs>
            <w:rPr/>
          </w:pPr>
          <w:hyperlink w:anchor="__RefHeading___Toc2001_3827876098">
            <w:r>
              <w:rPr>
                <w:webHidden/>
                <w:rStyle w:val="Odkaznarejstk"/>
              </w:rPr>
              <w:t>11.1.5 EN 62561-5:2011 Požadavky na revizní skříně a provedení zemničů</w:t>
              <w:tab/>
              <w:t>13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2003_3827876098">
            <w:r>
              <w:rPr>
                <w:webHidden/>
                <w:rStyle w:val="Odkaznarejstk"/>
              </w:rPr>
              <w:t>12. Objasnění pojmů</w:t>
              <w:tab/>
              <w:t>13</w:t>
            </w:r>
          </w:hyperlink>
        </w:p>
        <w:p>
          <w:pPr>
            <w:pStyle w:val="Obsah1"/>
            <w:tabs>
              <w:tab w:val="clear" w:pos="708"/>
              <w:tab w:val="right" w:pos="9070" w:leader="dot"/>
            </w:tabs>
            <w:rPr/>
          </w:pPr>
          <w:hyperlink w:anchor="__RefHeading___Toc2005_3827876098">
            <w:r>
              <w:rPr>
                <w:webHidden/>
                <w:rStyle w:val="Odkaznarejstk"/>
              </w:rPr>
              <w:t>13. Navržené technické řešení</w:t>
              <w:tab/>
              <w:t>15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2007_3827876098">
            <w:r>
              <w:rPr>
                <w:webHidden/>
                <w:rStyle w:val="Odkaznarejstk"/>
              </w:rPr>
              <w:t>13.1 Uzemnění</w:t>
              <w:tab/>
              <w:t>15</w:t>
            </w:r>
          </w:hyperlink>
        </w:p>
        <w:p>
          <w:pPr>
            <w:pStyle w:val="Obsah2"/>
            <w:tabs>
              <w:tab w:val="clear" w:pos="708"/>
              <w:tab w:val="right" w:pos="9070" w:leader="dot"/>
            </w:tabs>
            <w:rPr/>
          </w:pPr>
          <w:hyperlink w:anchor="__RefHeading___Toc2009_3827876098">
            <w:r>
              <w:rPr>
                <w:webHidden/>
                <w:rStyle w:val="Odkaznarejstk"/>
              </w:rPr>
              <w:t>13.2 Jímací tyče a svody</w:t>
              <w:tab/>
              <w:t>15</w:t>
            </w:r>
          </w:hyperlink>
          <w:r>
            <w:rPr>
              <w:rStyle w:val="Odkaznarejstk"/>
            </w:rPr>
            <w:fldChar w:fldCharType="end"/>
          </w:r>
        </w:p>
      </w:sdtContent>
    </w:sdt>
    <w:p>
      <w:pPr>
        <w:pStyle w:val="Nadpis1"/>
        <w:keepNext w:val="true"/>
        <w:keepLines/>
        <w:spacing w:before="480" w:after="0"/>
        <w:rPr>
          <w:rFonts w:ascii="Cambria" w:hAnsi="Cambria" w:eastAsia="" w:cs="" w:asciiTheme="majorHAnsi" w:cstheme="majorBidi" w:eastAsiaTheme="majorEastAsia" w:hAnsiTheme="majorHAnsi"/>
          <w:b/>
          <w:b/>
          <w:bCs/>
          <w:sz w:val="28"/>
          <w:szCs w:val="28"/>
        </w:rPr>
      </w:pPr>
      <w:bookmarkStart w:id="1" w:name="__RefHeading___Toc1941_3827876098"/>
      <w:bookmarkStart w:id="2" w:name="_Toc152836563"/>
      <w:bookmarkEnd w:id="1"/>
      <w:r>
        <w:rPr>
          <w:rFonts w:eastAsia="" w:cs="" w:cstheme="majorBidi" w:eastAsiaTheme="majorEastAsia"/>
          <w:b/>
          <w:bCs/>
          <w:sz w:val="28"/>
          <w:szCs w:val="28"/>
        </w:rPr>
        <w:t>1. Obsah projektu</w:t>
      </w:r>
      <w:bookmarkEnd w:id="2"/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100"/>
        <w:jc w:val="both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 xml:space="preserve">Projekt řeší výměnu a instalaci vnější ochrany před bleskem pro kostel sv. Cyrila a Metoděje postaveného na parcele č. 55 v k.ú. Milostovice. Projekt neřeší pak uzemnění a ochranné pospojování zařízení a elektrické instalace. Dále pak neřeší projekt instalaci svodičů přepětí a dalších ochranných zařízení vnitřní elektrické instalace. </w:t>
      </w:r>
    </w:p>
    <w:p>
      <w:pPr>
        <w:pStyle w:val="Nadpis1"/>
        <w:rPr/>
      </w:pPr>
      <w:bookmarkStart w:id="3" w:name="__RefHeading___Toc1943_3827876098"/>
      <w:bookmarkStart w:id="4" w:name="_Toc152836564"/>
      <w:bookmarkEnd w:id="3"/>
      <w:r>
        <w:rPr/>
        <w:t>2. Identifikační údaje stavby</w:t>
      </w:r>
      <w:bookmarkEnd w:id="4"/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100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Název projektu:</w:t>
        <w:tab/>
        <w:tab/>
        <w:tab/>
        <w:t>REKONSTRUKCE VNĚJŠÍ OCHRANY PŘED BLESKEM</w:t>
      </w:r>
    </w:p>
    <w:p>
      <w:pPr>
        <w:pStyle w:val="Normal"/>
        <w:spacing w:before="0" w:after="100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Objekt:</w:t>
        <w:tab/>
        <w:tab/>
        <w:tab/>
        <w:tab/>
        <w:t>Kostel</w:t>
      </w:r>
    </w:p>
    <w:p>
      <w:pPr>
        <w:pStyle w:val="Normal"/>
        <w:spacing w:before="0" w:after="100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Stupeň dokumentace:</w:t>
        <w:tab/>
        <w:tab/>
        <w:t>Dokumentace pro stavební povolení</w:t>
      </w:r>
    </w:p>
    <w:p>
      <w:pPr>
        <w:pStyle w:val="Normal"/>
        <w:spacing w:before="0" w:after="100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Místo stavby:</w:t>
        <w:tab/>
        <w:tab/>
        <w:tab/>
        <w:t>parcela č. 55, k.ú. Milostovice, 746 01 Opava</w:t>
      </w:r>
    </w:p>
    <w:p>
      <w:pPr>
        <w:pStyle w:val="Normal"/>
        <w:spacing w:before="0" w:after="100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Kraj:</w:t>
        <w:tab/>
        <w:tab/>
        <w:tab/>
        <w:tab/>
        <w:t>Moravskoslezský</w:t>
      </w:r>
    </w:p>
    <w:p>
      <w:pPr>
        <w:pStyle w:val="Normal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Investor:</w:t>
        <w:tab/>
        <w:tab/>
        <w:tab/>
        <w:t>Statutární město Opava, Horní náměstí 382/69, 746 01 Opava</w:t>
      </w:r>
    </w:p>
    <w:p>
      <w:pPr>
        <w:pStyle w:val="Normal"/>
        <w:spacing w:before="0" w:after="0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Zhotovitel dokumentace:</w:t>
        <w:tab/>
        <w:t xml:space="preserve">Bc. Lukáš Bělíček, Stachovice 1 742 45 Fulnek, IČO: 09712101 </w:t>
      </w:r>
    </w:p>
    <w:p>
      <w:pPr>
        <w:pStyle w:val="Normal"/>
        <w:spacing w:before="0" w:after="0"/>
        <w:ind w:left="2124" w:firstLine="708"/>
        <w:rPr>
          <w:rFonts w:ascii="Arial" w:hAnsi="Arial" w:eastAsia="Arial" w:cs="Times New Roman"/>
          <w:sz w:val="20"/>
          <w:szCs w:val="20"/>
          <w:lang w:eastAsia="cs-CZ"/>
        </w:rPr>
      </w:pPr>
      <w:r>
        <w:rPr>
          <w:rFonts w:eastAsia="Arial" w:cs="Times New Roman" w:ascii="Arial" w:hAnsi="Arial"/>
          <w:sz w:val="20"/>
          <w:szCs w:val="20"/>
          <w:lang w:eastAsia="cs-CZ"/>
        </w:rPr>
        <w:t>tel.: 727 973 150</w:t>
      </w:r>
    </w:p>
    <w:p>
      <w:pPr>
        <w:pStyle w:val="Nadpis1"/>
        <w:rPr/>
      </w:pPr>
      <w:bookmarkStart w:id="5" w:name="__RefHeading___Toc1945_3827876098"/>
      <w:bookmarkStart w:id="6" w:name="_Toc152836565"/>
      <w:bookmarkEnd w:id="5"/>
      <w:r>
        <w:rPr/>
        <w:t>3. Seznam vstupních podkladů</w:t>
      </w:r>
      <w:bookmarkEnd w:id="6"/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Projektová dokumentace stavebních úprav č. D.1.1 zpracovaná Radkem Vašendou, DiS</w:t>
      </w:r>
    </w:p>
    <w:p>
      <w:pPr>
        <w:pStyle w:val="Nadpis1"/>
        <w:rPr/>
      </w:pPr>
      <w:bookmarkStart w:id="7" w:name="__RefHeading___Toc1947_3827876098"/>
      <w:bookmarkStart w:id="8" w:name="_Toc152836566"/>
      <w:bookmarkEnd w:id="7"/>
      <w:r>
        <w:rPr/>
        <w:t>4. Přehled zkratek</w:t>
      </w:r>
      <w:bookmarkEnd w:id="8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color w:val="000000"/>
          <w:sz w:val="20"/>
        </w:rPr>
      </w:pPr>
      <w:r>
        <w:rPr>
          <w:b/>
          <w:color w:val="000000"/>
          <w:sz w:val="20"/>
        </w:rPr>
      </w:r>
    </w:p>
    <w:p>
      <w:pPr>
        <w:pStyle w:val="BODY"/>
        <w:tabs>
          <w:tab w:val="left" w:pos="1133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a</w:t>
        <w:tab/>
        <w:t>odpisová míra</w:t>
      </w:r>
    </w:p>
    <w:p>
      <w:pPr>
        <w:pStyle w:val="Normal1"/>
        <w:tabs>
          <w:tab w:val="clear" w:pos="1134"/>
          <w:tab w:val="clear" w:pos="2268"/>
          <w:tab w:val="left" w:pos="1133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>a</w:t>
      </w:r>
      <w:r>
        <w:rPr>
          <w:position w:val="-5"/>
          <w:sz w:val="20"/>
        </w:rPr>
        <w:t>t</w:t>
      </w:r>
      <w:r>
        <w:rPr>
          <w:sz w:val="20"/>
        </w:rPr>
        <w:tab/>
        <w:t>doba návratnosti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a</w:t>
      </w:r>
      <w:r>
        <w:rPr>
          <w:sz w:val="20"/>
        </w:rPr>
        <w:tab/>
        <w:t>hodnota zvířat v zóně, v tisících korun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b</w:t>
      </w:r>
      <w:r>
        <w:rPr>
          <w:sz w:val="20"/>
        </w:rPr>
        <w:tab/>
        <w:t>hodnota části budovy připadající na zónu, v tisících korun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c</w:t>
      </w:r>
      <w:r>
        <w:rPr>
          <w:sz w:val="20"/>
        </w:rPr>
        <w:tab/>
        <w:t>hodnota obsahu zóny v tisících korun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s</w:t>
      </w:r>
      <w:r>
        <w:rPr>
          <w:sz w:val="20"/>
        </w:rPr>
        <w:tab/>
        <w:t>hodnota vybavení zóny (včetně její produkce), v tisících korun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t</w:t>
      </w:r>
      <w:r>
        <w:rPr>
          <w:sz w:val="20"/>
        </w:rPr>
        <w:tab/>
        <w:t>celková hodnota stavby v tisících korun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D</w:t>
      </w:r>
      <w:r>
        <w:rPr>
          <w:sz w:val="20"/>
        </w:rPr>
        <w:t>;C</w:t>
      </w:r>
      <w:r>
        <w:rPr>
          <w:position w:val="-5"/>
          <w:sz w:val="20"/>
        </w:rPr>
        <w:t>DJ</w:t>
        <w:tab/>
      </w:r>
      <w:r>
        <w:rPr>
          <w:sz w:val="20"/>
        </w:rPr>
        <w:t>činitel polohy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L</w:t>
      </w:r>
      <w:r>
        <w:rPr>
          <w:sz w:val="20"/>
        </w:rPr>
        <w:tab/>
        <w:t>roční náklady na celkové ztráty, bez použití ochranných opatření</w:t>
      </w:r>
    </w:p>
    <w:p>
      <w:pPr>
        <w:pStyle w:val="Normal1"/>
        <w:tabs>
          <w:tab w:val="clear" w:pos="2268"/>
          <w:tab w:val="left" w:pos="1134" w:leader="none"/>
          <w:tab w:val="left" w:pos="141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PM</w:t>
      </w:r>
      <w:r>
        <w:rPr>
          <w:sz w:val="20"/>
        </w:rPr>
        <w:tab/>
        <w:t>roční náklady na vybraná ochranná opatření</w:t>
      </w:r>
    </w:p>
    <w:p>
      <w:pPr>
        <w:pStyle w:val="Normal1"/>
        <w:tabs>
          <w:tab w:val="clear" w:pos="2268"/>
          <w:tab w:val="left" w:pos="1134" w:leader="none"/>
          <w:tab w:val="left" w:pos="141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RL</w:t>
      </w:r>
      <w:r>
        <w:rPr>
          <w:sz w:val="20"/>
        </w:rPr>
        <w:tab/>
        <w:t>roční náklady na zbytkové ztráty</w:t>
      </w:r>
    </w:p>
    <w:p>
      <w:pPr>
        <w:pStyle w:val="Normal"/>
        <w:widowControl w:val="false"/>
        <w:tabs>
          <w:tab w:val="clear" w:pos="708"/>
          <w:tab w:val="left" w:pos="1133" w:leader="none"/>
        </w:tabs>
        <w:ind w:left="1418" w:hanging="1418"/>
        <w:rPr>
          <w:rFonts w:ascii="Arial" w:hAnsi="Arial" w:eastAsia="Arial"/>
        </w:rPr>
      </w:pPr>
      <w:r>
        <w:rPr>
          <w:rFonts w:eastAsia="Arial" w:ascii="Arial" w:hAnsi="Arial"/>
        </w:rPr>
        <w:t>EB</w:t>
        <w:tab/>
        <w:t>pospojování pro ochranu před bleskem</w:t>
      </w:r>
      <w:r>
        <w:rPr>
          <w:rFonts w:eastAsia="Arial" w:ascii="Arial" w:hAnsi="Arial"/>
          <w:b/>
        </w:rPr>
        <w:t xml:space="preserve"> </w:t>
      </w:r>
      <w:r>
        <w:rPr>
          <w:rFonts w:eastAsia="Arial" w:ascii="Arial" w:hAnsi="Arial"/>
          <w:i/>
        </w:rPr>
        <w:t>(lightning equipotential bonding)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H</w:t>
        <w:tab/>
        <w:t>výška budovy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H</w:t>
      </w:r>
      <w:r>
        <w:rPr>
          <w:position w:val="-5"/>
          <w:sz w:val="20"/>
        </w:rPr>
        <w:t>P</w:t>
      </w:r>
      <w:r>
        <w:rPr>
          <w:sz w:val="20"/>
        </w:rPr>
        <w:tab/>
        <w:t>nejvyšší bod budovy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i</w:t>
        <w:tab/>
        <w:t>úrok</w:t>
      </w:r>
    </w:p>
    <w:p>
      <w:pPr>
        <w:pStyle w:val="Normal1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 w:leader="none"/>
        </w:tabs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S1</w:t>
      </w:r>
      <w:r>
        <w:rPr>
          <w:sz w:val="20"/>
        </w:rPr>
        <w:tab/>
        <w:t>činitel související se stínicí účinností stavby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S1W</w:t>
      </w:r>
      <w:r>
        <w:rPr>
          <w:sz w:val="20"/>
        </w:rPr>
        <w:tab/>
        <w:t>rozteč mezi svody LPS</w:t>
      </w:r>
    </w:p>
    <w:p>
      <w:pPr>
        <w:pStyle w:val="Normal1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 w:leader="none"/>
        </w:tabs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S2</w:t>
      </w:r>
      <w:r>
        <w:rPr>
          <w:sz w:val="20"/>
        </w:rPr>
        <w:tab/>
        <w:t>činitel související se stínicí účinností stínění umístěných uvnitř stavby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S2W</w:t>
      </w:r>
      <w:r>
        <w:rPr>
          <w:sz w:val="20"/>
        </w:rPr>
        <w:tab/>
        <w:t>velikost ok stínění uvnitř budovy nebo stavby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L1</w:t>
        <w:tab/>
        <w:t>ztráta lidského života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L2</w:t>
        <w:tab/>
        <w:t>ztráta veřejných služeb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L3</w:t>
        <w:tab/>
        <w:t>ztráta kulturního dědictví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L4</w:t>
        <w:tab/>
        <w:t>ztráta ekonomická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L</w:t>
        <w:tab/>
        <w:t>délka objektu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LEMP</w:t>
        <w:tab/>
        <w:t>elektromagnetický impulz vyvolaný bleskem</w:t>
      </w:r>
    </w:p>
    <w:p>
      <w:pPr>
        <w:pStyle w:val="Normal1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 w:leader="none"/>
        </w:tabs>
        <w:rPr>
          <w:sz w:val="20"/>
        </w:rPr>
      </w:pPr>
      <w:r>
        <w:rPr>
          <w:sz w:val="20"/>
        </w:rPr>
        <w:t>LP</w:t>
        <w:tab/>
        <w:t>ochrana před bleskem</w:t>
      </w:r>
    </w:p>
    <w:p>
      <w:pPr>
        <w:pStyle w:val="Normal"/>
        <w:widowControl w:val="false"/>
        <w:tabs>
          <w:tab w:val="clear" w:pos="708"/>
          <w:tab w:val="left" w:pos="1133" w:leader="none"/>
        </w:tabs>
        <w:ind w:left="1418" w:hanging="1418"/>
        <w:rPr>
          <w:rFonts w:ascii="Arial" w:hAnsi="Arial" w:eastAsia="Arial"/>
        </w:rPr>
      </w:pPr>
      <w:r>
        <w:rPr>
          <w:rFonts w:eastAsia="Arial" w:ascii="Arial" w:hAnsi="Arial"/>
        </w:rPr>
        <w:t>LPL</w:t>
        <w:tab/>
        <w:t>hladina ochrany před bleskem</w:t>
      </w:r>
    </w:p>
    <w:p>
      <w:pPr>
        <w:pStyle w:val="Normal"/>
        <w:widowControl w:val="false"/>
        <w:tabs>
          <w:tab w:val="clear" w:pos="708"/>
          <w:tab w:val="left" w:pos="1133" w:leader="none"/>
        </w:tabs>
        <w:ind w:left="1418" w:hanging="1418"/>
        <w:rPr>
          <w:rFonts w:ascii="Arial" w:hAnsi="Arial" w:eastAsia="Arial"/>
        </w:rPr>
      </w:pPr>
      <w:r>
        <w:rPr>
          <w:rFonts w:eastAsia="Arial" w:ascii="Arial" w:hAnsi="Arial"/>
        </w:rPr>
        <w:t>LPS</w:t>
        <w:tab/>
        <w:t>systém ochrany před bleskem</w:t>
      </w:r>
    </w:p>
    <w:p>
      <w:pPr>
        <w:pStyle w:val="Normal"/>
        <w:widowControl w:val="false"/>
        <w:tabs>
          <w:tab w:val="clear" w:pos="708"/>
          <w:tab w:val="left" w:pos="1133" w:leader="none"/>
        </w:tabs>
        <w:ind w:left="1418" w:hanging="1418"/>
        <w:rPr>
          <w:rFonts w:ascii="Arial" w:hAnsi="Arial" w:eastAsia="Arial"/>
        </w:rPr>
      </w:pPr>
      <w:r>
        <w:rPr>
          <w:rFonts w:eastAsia="Arial" w:ascii="Arial" w:hAnsi="Arial"/>
        </w:rPr>
        <w:t>LPZ</w:t>
        <w:tab/>
        <w:t>zóna ochrany před bleskem</w:t>
      </w:r>
    </w:p>
    <w:p>
      <w:pPr>
        <w:pStyle w:val="Normal1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 w:leader="none"/>
        </w:tabs>
        <w:rPr>
          <w:sz w:val="20"/>
        </w:rPr>
      </w:pPr>
      <w:r>
        <w:rPr>
          <w:sz w:val="20"/>
        </w:rPr>
        <w:t>m</w:t>
        <w:tab/>
        <w:t>sazba na údržbu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N</w:t>
      </w:r>
      <w:r>
        <w:rPr>
          <w:position w:val="-5"/>
          <w:sz w:val="20"/>
        </w:rPr>
        <w:t>D</w:t>
      </w:r>
      <w:r>
        <w:rPr>
          <w:sz w:val="20"/>
        </w:rPr>
        <w:tab/>
        <w:t>počet nebezpečných událostí způsobených údery do stavby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NG</w:t>
        <w:tab/>
        <w:t>hustota úderů blesku do země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PB</w:t>
        <w:tab/>
        <w:t>pravděpodobnost hmotné škody na stavbě (údery do stavby)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PEB</w:t>
        <w:tab/>
        <w:t>pravděpodobnost snížení PU a PV v závislosti na charakteristikách vedení a výdržném</w:t>
        <w:tab/>
        <w:tab/>
        <w:t>napětí zařízení, je-li instalováno EB (pospojování)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PSPD</w:t>
        <w:tab/>
        <w:t>pravděpodobnost snížení PC, PM, PW a PZ, jsou-li nainstalovány koordinované systémy</w:t>
        <w:tab/>
        <w:tab/>
        <w:t>SPD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</w:t>
        <w:tab/>
        <w:t>riziko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R1</w:t>
        <w:tab/>
        <w:t>riziko ztrát lidských životů ve stavbě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R2</w:t>
        <w:tab/>
        <w:t>riziko ztráty veřejné služby ve stavbě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R3</w:t>
        <w:tab/>
        <w:t>riziko ztráty kulturního dědictví ve stavbě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R4</w:t>
        <w:tab/>
        <w:t>riziko ztráty ekonomických hodnot ve stavbě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RA</w:t>
        <w:tab/>
        <w:t>součást rizika (úraz živých bytostí – údery do stavby)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RB</w:t>
        <w:tab/>
        <w:t>součást rizika (hmotná škoda na stavbě – údery do stavby)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RC</w:t>
        <w:tab/>
        <w:t>součást rizika (porucha vnitřních systémů – údery do stavby)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RM</w:t>
        <w:tab/>
        <w:t>součást rizika (porucha vnitřních systémů – údery v blízkosti stavby)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RU</w:t>
        <w:tab/>
        <w:t>součást rizika (úraz živých bytostí – údery do připojeného vedení)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RV</w:t>
        <w:tab/>
        <w:t>součást rizika (hmotná škoda na stavbě – údery do připojeného vedení)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RW</w:t>
        <w:tab/>
        <w:t>součást rizika (porucha vnitřních systémů – údery do připojeného vedení)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RZ</w:t>
        <w:tab/>
        <w:t>součást rizika (porucha vnitřních systémů – údery v blízkosti připojeného vedení)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RT</w:t>
        <w:tab/>
        <w:t>přípustné riziko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rf</w:t>
        <w:tab/>
        <w:t>činitel snižující ztráty závisející na riziku požáru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rp</w:t>
        <w:tab/>
        <w:t>činitel snižující ztráty v důsledku protipožárních opatření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SM</w:t>
        <w:tab/>
        <w:t>roční úspora peněz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SPD</w:t>
        <w:tab/>
        <w:t>přepěťové ochranné zařízení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SPM</w:t>
        <w:tab/>
        <w:t>ochranná opatření proti LEMP (opatření pro ochranu vnitřních systémů před účinky LEMP)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tex</w:t>
        <w:tab/>
        <w:t>doba trvání přítomnosti nebezpečí výbuchu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W</w:t>
        <w:tab/>
        <w:t>šířka stavby</w:t>
      </w:r>
    </w:p>
    <w:p>
      <w:pPr>
        <w:pStyle w:val="BODY"/>
        <w:tabs>
          <w:tab w:val="left" w:pos="1133" w:leader="none"/>
        </w:tabs>
        <w:spacing w:lineRule="auto" w:line="240"/>
        <w:rPr>
          <w:sz w:val="20"/>
        </w:rPr>
      </w:pPr>
      <w:r>
        <w:rPr>
          <w:sz w:val="20"/>
        </w:rPr>
        <w:t>Z</w:t>
        <w:tab/>
        <w:t>zóny budovy</w:t>
      </w:r>
    </w:p>
    <w:p>
      <w:pPr>
        <w:pStyle w:val="Nadpis1"/>
        <w:rPr/>
      </w:pPr>
      <w:bookmarkStart w:id="9" w:name="__RefHeading___Toc1949_3827876098"/>
      <w:bookmarkStart w:id="10" w:name="_Toc152836567"/>
      <w:bookmarkEnd w:id="9"/>
      <w:r>
        <w:rPr/>
        <w:t>5. Normativní podklady</w:t>
      </w:r>
      <w:bookmarkEnd w:id="10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Řada</w:t>
      </w:r>
      <w:r>
        <w:rPr>
          <w:color w:val="000000"/>
          <w:sz w:val="20"/>
        </w:rPr>
        <w:t xml:space="preserve"> ČSN EN 62305 </w:t>
      </w:r>
      <w:r>
        <w:rPr>
          <w:sz w:val="20"/>
        </w:rPr>
        <w:t xml:space="preserve">se skládá z následujících částí: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color w:val="000000"/>
          <w:sz w:val="20"/>
        </w:rPr>
        <w:t>- ČSN EN 62305-1:2011-09 - „</w:t>
      </w:r>
      <w:r>
        <w:rPr>
          <w:sz w:val="20"/>
        </w:rPr>
        <w:t xml:space="preserve">Ochrana před bleskem – Část 1: Obecné principy"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color w:val="000000"/>
          <w:sz w:val="20"/>
        </w:rPr>
        <w:t>- ČSN EN 62305-2:2013-02 - „</w:t>
      </w:r>
      <w:r>
        <w:rPr>
          <w:sz w:val="20"/>
        </w:rPr>
        <w:t xml:space="preserve">Ochrana před bleskem – Část 2: Řízení rizika"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color w:val="000000"/>
          <w:sz w:val="20"/>
        </w:rPr>
        <w:t>- ČSN EN 62305-3:2012-01 - „</w:t>
      </w:r>
      <w:r>
        <w:rPr>
          <w:sz w:val="20"/>
        </w:rPr>
        <w:t xml:space="preserve">Ochrana před bleskem – Část 3: Hmotné škody na stavbách a ohrožení života"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color w:val="000000"/>
          <w:sz w:val="20"/>
        </w:rPr>
        <w:t>- ČSN EN 62305-4:2011-09 - „</w:t>
      </w:r>
      <w:r>
        <w:rPr>
          <w:sz w:val="20"/>
        </w:rPr>
        <w:t xml:space="preserve">Ochrana před bleskem – Část 4: Elektrické a elektronické systémy ve stavbách" </w:t>
      </w:r>
    </w:p>
    <w:p>
      <w:pPr>
        <w:pStyle w:val="Nadpis1"/>
        <w:rPr/>
      </w:pPr>
      <w:bookmarkStart w:id="11" w:name="__RefHeading___Toc1951_3827876098"/>
      <w:bookmarkStart w:id="12" w:name="_Toc152836568"/>
      <w:bookmarkEnd w:id="11"/>
      <w:r>
        <w:rPr/>
        <w:t>6. Riziko škod a příčiny poškození</w:t>
      </w:r>
      <w:bookmarkEnd w:id="12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Aby nedošlo k poškození způsobenému bleskem, je nutné specifikovaná ochranná opatření na objektu důsledně zrealizovat. Řízení rizik popsané v- normě ČSN EN 62305-2:2013-02 zahrnuje analýzu rizik, která potřebnou úroveň ochrany objektu stanoví s ohledem na ohrožení bleskem. Cílem řízení rizik je snížení rizika tím, že ochranná opatření sníží riziko na přijatelnou úroveň.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Provedená analýza rizik ČSN EN 62305-2:2013-02 na projekt Kaple sv. Cyrila a Metoděje – objekt/budovu: objekt poukazuje na nutnost ochranných opatření na a v objektu. Na základě posouzení potenciálního rizika pro objekt byla určena nezbytná opatření ke snížení rizika. Výsledkem hodnocení rizika může být nejen LPS, ale i SPM, včetně potřebného stínění proti LEMP.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Výsledkem je ekonomicky rozumná volba ochranných opatření, vhodná pro stávající budovu určitého charakteru a typu užívání stavby.</w:t>
      </w:r>
    </w:p>
    <w:p>
      <w:pPr>
        <w:pStyle w:val="Nadpis1"/>
        <w:rPr/>
      </w:pPr>
      <w:bookmarkStart w:id="13" w:name="__RefHeading___Toc1953_3827876098"/>
      <w:bookmarkStart w:id="14" w:name="_Toc152836569"/>
      <w:bookmarkEnd w:id="13"/>
      <w:r>
        <w:rPr/>
        <w:t>7. Údaje o projektu</w:t>
      </w:r>
      <w:bookmarkEnd w:id="14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Nadpis2"/>
        <w:rPr/>
      </w:pPr>
      <w:bookmarkStart w:id="15" w:name="__RefHeading___Toc1955_3827876098"/>
      <w:bookmarkStart w:id="16" w:name="_Toc152836570"/>
      <w:bookmarkEnd w:id="15"/>
      <w:r>
        <w:rPr/>
        <w:t>7.1 Vyhodnocení rizik</w:t>
      </w:r>
      <w:bookmarkEnd w:id="16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Vzhledem k povaze a využití budovy</w:t>
      </w:r>
      <w:r>
        <w:rPr>
          <w:color w:val="000000"/>
          <w:sz w:val="20"/>
        </w:rPr>
        <w:t xml:space="preserve"> objekt u </w:t>
      </w:r>
      <w:r>
        <w:rPr>
          <w:sz w:val="20"/>
        </w:rPr>
        <w:t>je nutné zvážit tato rizika: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tbl>
      <w:tblPr>
        <w:tblW w:w="9405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364"/>
        <w:gridCol w:w="6353"/>
        <w:gridCol w:w="1688"/>
      </w:tblGrid>
      <w:tr>
        <w:trPr/>
        <w:tc>
          <w:tcPr>
            <w:tcW w:w="136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Riziko R</w:t>
            </w:r>
            <w:r>
              <w:rPr>
                <w:rFonts w:eastAsia="Arial" w:ascii="Arial" w:hAnsi="Arial"/>
                <w:color w:val="000000"/>
                <w:position w:val="-5"/>
              </w:rPr>
              <w:t>1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6353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color w:val="000000"/>
              </w:rPr>
            </w:pPr>
            <w:r>
              <w:rPr>
                <w:sz w:val="20"/>
              </w:rPr>
              <w:t>Riziko ztráty lidského života;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R</w:t>
            </w:r>
            <w:r>
              <w:rPr>
                <w:rFonts w:eastAsia="Arial" w:ascii="Arial" w:hAnsi="Arial"/>
                <w:color w:val="000000"/>
                <w:position w:val="-5"/>
              </w:rPr>
              <w:t>T</w:t>
            </w:r>
            <w:r>
              <w:rPr>
                <w:rFonts w:eastAsia="Arial" w:ascii="Arial" w:hAnsi="Arial"/>
                <w:color w:val="000000"/>
              </w:rPr>
              <w:t>: 1,00E-05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color w:val="000000"/>
        </w:rPr>
      </w:pPr>
      <w:r>
        <w:rPr>
          <w:color w:val="000000"/>
        </w:rPr>
      </w:r>
    </w:p>
    <w:tbl>
      <w:tblPr>
        <w:tblW w:w="9405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312"/>
        <w:gridCol w:w="6405"/>
        <w:gridCol w:w="1688"/>
      </w:tblGrid>
      <w:tr>
        <w:trPr/>
        <w:tc>
          <w:tcPr>
            <w:tcW w:w="1312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Riziko R</w:t>
            </w:r>
            <w:r>
              <w:rPr>
                <w:rFonts w:eastAsia="Arial" w:ascii="Arial" w:hAnsi="Arial"/>
                <w:color w:val="000000"/>
                <w:position w:val="-5"/>
              </w:rPr>
              <w:t>2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6405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color w:val="000000"/>
              </w:rPr>
            </w:pPr>
            <w:r>
              <w:rPr>
                <w:sz w:val="20"/>
              </w:rPr>
              <w:t>Riziko ztráty veřejných služeb;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R</w:t>
            </w:r>
            <w:r>
              <w:rPr>
                <w:rFonts w:eastAsia="Arial" w:ascii="Arial" w:hAnsi="Arial"/>
                <w:color w:val="000000"/>
                <w:position w:val="-5"/>
              </w:rPr>
              <w:t>T</w:t>
            </w:r>
            <w:r>
              <w:rPr>
                <w:rFonts w:eastAsia="Arial" w:ascii="Arial" w:hAnsi="Arial"/>
                <w:color w:val="000000"/>
              </w:rPr>
              <w:t>: 1,00E-03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color w:val="000000"/>
        </w:rPr>
      </w:pPr>
      <w:r>
        <w:rPr>
          <w:color w:val="000000"/>
        </w:rPr>
      </w:r>
    </w:p>
    <w:tbl>
      <w:tblPr>
        <w:tblW w:w="9405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312"/>
        <w:gridCol w:w="6405"/>
        <w:gridCol w:w="1688"/>
      </w:tblGrid>
      <w:tr>
        <w:trPr/>
        <w:tc>
          <w:tcPr>
            <w:tcW w:w="1312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Riziko R</w:t>
            </w:r>
            <w:r>
              <w:rPr>
                <w:rFonts w:eastAsia="Arial" w:ascii="Arial" w:hAnsi="Arial"/>
                <w:color w:val="000000"/>
                <w:position w:val="-5"/>
              </w:rPr>
              <w:t>3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6405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color w:val="000000"/>
              </w:rPr>
            </w:pPr>
            <w:r>
              <w:rPr>
                <w:sz w:val="20"/>
              </w:rPr>
              <w:t>Riziko ztráty nenahraditelného kulturního dědictví;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R</w:t>
            </w:r>
            <w:r>
              <w:rPr>
                <w:rFonts w:eastAsia="Arial" w:ascii="Arial" w:hAnsi="Arial"/>
                <w:color w:val="000000"/>
                <w:position w:val="-5"/>
              </w:rPr>
              <w:t>T</w:t>
            </w:r>
            <w:r>
              <w:rPr>
                <w:rFonts w:eastAsia="Arial" w:ascii="Arial" w:hAnsi="Arial"/>
                <w:color w:val="000000"/>
              </w:rPr>
              <w:t>: 1,00E-04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color w:val="000000"/>
        </w:rPr>
      </w:pPr>
      <w:r>
        <w:rPr>
          <w:color w:val="000000"/>
        </w:rPr>
      </w:r>
    </w:p>
    <w:tbl>
      <w:tblPr>
        <w:tblW w:w="9405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312"/>
        <w:gridCol w:w="6405"/>
        <w:gridCol w:w="1688"/>
      </w:tblGrid>
      <w:tr>
        <w:trPr/>
        <w:tc>
          <w:tcPr>
            <w:tcW w:w="1312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Riziko R</w:t>
            </w:r>
            <w:r>
              <w:rPr>
                <w:rFonts w:eastAsia="Arial" w:ascii="Arial" w:hAnsi="Arial"/>
                <w:color w:val="000000"/>
                <w:position w:val="-5"/>
              </w:rPr>
              <w:t>4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6405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color w:val="000000"/>
              </w:rPr>
            </w:pPr>
            <w:r>
              <w:rPr>
                <w:sz w:val="20"/>
              </w:rPr>
              <w:t>Riziko ekonomické ztráty;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Přípustná rizika</w:t>
      </w:r>
      <w:r>
        <w:rPr>
          <w:rFonts w:eastAsia="Arial" w:ascii="Arial" w:hAnsi="Arial"/>
          <w:color w:val="000000"/>
        </w:rPr>
        <w:t xml:space="preserve"> R</w:t>
      </w:r>
      <w:r>
        <w:rPr>
          <w:rFonts w:eastAsia="Arial" w:ascii="Arial" w:hAnsi="Arial"/>
          <w:color w:val="000000"/>
          <w:position w:val="-5"/>
        </w:rPr>
        <w:t>T</w:t>
      </w:r>
      <w:r>
        <w:rPr>
          <w:rFonts w:eastAsia="Arial" w:ascii="Arial" w:hAnsi="Arial"/>
          <w:color w:val="000000"/>
        </w:rPr>
        <w:t xml:space="preserve"> jsou </w:t>
      </w:r>
      <w:r>
        <w:rPr>
          <w:rFonts w:eastAsia="Arial" w:ascii="Arial" w:hAnsi="Arial"/>
        </w:rPr>
        <w:t>definována: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Cílem analýzy rizika je snížit existující rizika na přijatelnou úroveň přípustného rizika </w:t>
      </w:r>
      <w:r>
        <w:rPr>
          <w:color w:val="000000"/>
          <w:sz w:val="20"/>
        </w:rPr>
        <w:t>R</w:t>
      </w:r>
      <w:r>
        <w:rPr>
          <w:color w:val="000000"/>
          <w:position w:val="-5"/>
          <w:sz w:val="20"/>
        </w:rPr>
        <w:t xml:space="preserve">T </w:t>
      </w:r>
      <w:r>
        <w:rPr>
          <w:sz w:val="20"/>
        </w:rPr>
        <w:t>tak, aby byla provedena ekonomicky rozumná volba ochranných opatření.</w:t>
      </w:r>
    </w:p>
    <w:p>
      <w:pPr>
        <w:pStyle w:val="Nadpis2"/>
        <w:rPr/>
      </w:pPr>
      <w:bookmarkStart w:id="17" w:name="__RefHeading___Toc1957_3827876098"/>
      <w:bookmarkStart w:id="18" w:name="_Toc152836571"/>
      <w:bookmarkEnd w:id="17"/>
      <w:r>
        <w:rPr/>
        <w:t>7.2 Poloha, včetně parametrů budovy</w:t>
      </w:r>
      <w:bookmarkEnd w:id="18"/>
      <w:r>
        <w:rPr/>
        <w:t xml:space="preserve"> 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Základem analýzy rizik je hustota úderů blesků Ng. Udává počet přímých úderů blesku za rok na km².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Pokud tuto hodnotu nelze zjistit, použije se desetina počtu bouřkových dní za rok v dané oblasti.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color w:val="000000"/>
          <w:sz w:val="20"/>
        </w:rPr>
      </w:pPr>
      <w:r>
        <w:rPr>
          <w:color w:val="000000"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color w:val="000000"/>
        </w:rPr>
      </w:pPr>
      <w:r>
        <w:rPr>
          <w:sz w:val="20"/>
        </w:rPr>
        <w:t>Rozhodující pro určení sběrných ploch pro přímý/nepřímý úder blesku následující rozměry vyšetřované stavby: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tbl>
      <w:tblPr>
        <w:tblW w:w="8933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94"/>
        <w:gridCol w:w="5514"/>
        <w:gridCol w:w="2925"/>
      </w:tblGrid>
      <w:tr>
        <w:trPr/>
        <w:tc>
          <w:tcPr>
            <w:tcW w:w="49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L</w:t>
            </w:r>
            <w:r>
              <w:rPr>
                <w:rFonts w:eastAsia="Arial" w:ascii="Arial" w:hAnsi="Arial"/>
                <w:color w:val="000000"/>
                <w:position w:val="-5"/>
              </w:rPr>
              <w:t>b</w:t>
            </w:r>
          </w:p>
        </w:tc>
        <w:tc>
          <w:tcPr>
            <w:tcW w:w="5514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color w:val="000000"/>
                <w:sz w:val="20"/>
              </w:rPr>
            </w:pPr>
            <w:r>
              <w:rPr>
                <w:sz w:val="20"/>
              </w:rPr>
              <w:t>Délka: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</w:r>
          </w:p>
        </w:tc>
        <w:tc>
          <w:tcPr>
            <w:tcW w:w="292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20,42 m</w:t>
            </w:r>
          </w:p>
        </w:tc>
      </w:tr>
      <w:tr>
        <w:trPr/>
        <w:tc>
          <w:tcPr>
            <w:tcW w:w="49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W</w:t>
            </w:r>
            <w:r>
              <w:rPr>
                <w:rFonts w:eastAsia="Arial" w:ascii="Arial" w:hAnsi="Arial"/>
                <w:color w:val="000000"/>
                <w:position w:val="-5"/>
              </w:rPr>
              <w:t>b</w:t>
            </w:r>
          </w:p>
        </w:tc>
        <w:tc>
          <w:tcPr>
            <w:tcW w:w="5514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sz w:val="20"/>
              </w:rPr>
            </w:pPr>
            <w:r>
              <w:rPr>
                <w:sz w:val="20"/>
              </w:rPr>
              <w:t>Šířka: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</w:r>
          </w:p>
        </w:tc>
        <w:tc>
          <w:tcPr>
            <w:tcW w:w="292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8,72 m</w:t>
            </w:r>
          </w:p>
        </w:tc>
      </w:tr>
      <w:tr>
        <w:trPr/>
        <w:tc>
          <w:tcPr>
            <w:tcW w:w="49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H</w:t>
            </w:r>
            <w:r>
              <w:rPr>
                <w:rFonts w:eastAsia="Arial" w:ascii="Arial" w:hAnsi="Arial"/>
                <w:color w:val="000000"/>
                <w:position w:val="-5"/>
              </w:rPr>
              <w:t>b</w:t>
            </w:r>
          </w:p>
        </w:tc>
        <w:tc>
          <w:tcPr>
            <w:tcW w:w="5514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color w:val="000000"/>
                <w:sz w:val="20"/>
              </w:rPr>
            </w:pPr>
            <w:r>
              <w:rPr>
                <w:sz w:val="20"/>
              </w:rPr>
              <w:t>Výška</w:t>
            </w:r>
            <w:r>
              <w:rPr>
                <w:color w:val="000000"/>
                <w:sz w:val="20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</w:r>
          </w:p>
        </w:tc>
        <w:tc>
          <w:tcPr>
            <w:tcW w:w="292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9,70 m</w:t>
            </w:r>
          </w:p>
        </w:tc>
      </w:tr>
      <w:tr>
        <w:trPr/>
        <w:tc>
          <w:tcPr>
            <w:tcW w:w="49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H</w:t>
            </w:r>
            <w:r>
              <w:rPr>
                <w:rFonts w:eastAsia="Arial" w:ascii="Arial" w:hAnsi="Arial"/>
                <w:color w:val="000000"/>
                <w:position w:val="-5"/>
              </w:rPr>
              <w:t>pb</w:t>
            </w:r>
          </w:p>
        </w:tc>
        <w:tc>
          <w:tcPr>
            <w:tcW w:w="5514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sz w:val="20"/>
              </w:rPr>
            </w:pPr>
            <w:r>
              <w:rPr>
                <w:sz w:val="20"/>
              </w:rPr>
              <w:t>Nejvyšší bod (pokud existuje):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</w:r>
          </w:p>
        </w:tc>
        <w:tc>
          <w:tcPr>
            <w:tcW w:w="292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25,84 m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Na základě rozměrů budovy a jejího tvaru se vypočítají následující sběrné plochy: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tbl>
      <w:tblPr>
        <w:tblW w:w="8933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728"/>
        <w:gridCol w:w="5280"/>
        <w:gridCol w:w="2925"/>
      </w:tblGrid>
      <w:tr>
        <w:trPr/>
        <w:tc>
          <w:tcPr>
            <w:tcW w:w="72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</w:r>
          </w:p>
        </w:tc>
        <w:tc>
          <w:tcPr>
            <w:tcW w:w="528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</w:rPr>
              <w:t>Sběrná plocha pro přímé údery blesku: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</w:r>
          </w:p>
        </w:tc>
        <w:tc>
          <w:tcPr>
            <w:tcW w:w="292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18 878,00 m²</w:t>
            </w:r>
          </w:p>
        </w:tc>
      </w:tr>
      <w:tr>
        <w:trPr/>
        <w:tc>
          <w:tcPr>
            <w:tcW w:w="72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</w:r>
          </w:p>
        </w:tc>
        <w:tc>
          <w:tcPr>
            <w:tcW w:w="528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  <w:t>Sběrná plocha pro nepřímé údery blesku:</w:t>
            </w:r>
          </w:p>
        </w:tc>
        <w:tc>
          <w:tcPr>
            <w:tcW w:w="292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814 538,00 m²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jc w:val="center"/>
        <w:rPr/>
      </w:pPr>
      <w:r>
        <w:rPr/>
        <w:drawing>
          <wp:inline distT="0" distB="0" distL="0" distR="0">
            <wp:extent cx="4478655" cy="2950210"/>
            <wp:effectExtent l="0" t="0" r="0" b="0"/>
            <wp:docPr id="1" name="_tx_id_3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tx_id_3_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655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jc w:val="center"/>
        <w:rPr/>
      </w:pPr>
      <w:r>
        <w:rPr/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Pro stanovení sběrných ploch pro přímý a nepřímý úder blesku je důležitým prvkem i tvar a struktura budovy. Budova je definována těmito parametry: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color w:val="FF0000"/>
          <w:sz w:val="20"/>
        </w:rPr>
      </w:pPr>
      <w:r>
        <w:rPr>
          <w:sz w:val="20"/>
        </w:rPr>
        <w:t xml:space="preserve">Relativní pozice </w:t>
      </w:r>
      <w:r>
        <w:rPr>
          <w:color w:val="000000"/>
          <w:sz w:val="20"/>
        </w:rPr>
        <w:t>C</w:t>
      </w:r>
      <w:r>
        <w:rPr>
          <w:color w:val="000000"/>
          <w:position w:val="-5"/>
          <w:sz w:val="20"/>
        </w:rPr>
        <w:t>db</w:t>
      </w:r>
      <w:r>
        <w:rPr>
          <w:color w:val="000000"/>
          <w:sz w:val="20"/>
        </w:rPr>
        <w:t>:</w:t>
      </w:r>
      <w:r>
        <w:rPr>
          <w:color w:val="000000"/>
          <w:position w:val="-5"/>
          <w:sz w:val="20"/>
        </w:rPr>
        <w:t xml:space="preserve"> </w:t>
      </w:r>
      <w:r>
        <w:rPr>
          <w:color w:val="000000"/>
          <w:sz w:val="20"/>
        </w:rPr>
        <w:t>1,00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Je nutno počítat s touto hustotou úderů blesků ve vztahu k izokeraunické mapě a velikosti a okolí budovy:</w:t>
      </w:r>
    </w:p>
    <w:p>
      <w:pPr>
        <w:pStyle w:val="BODY"/>
        <w:numPr>
          <w:ilvl w:val="0"/>
          <w:numId w:val="1"/>
        </w:num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přímé údery do stavby N</w:t>
      </w:r>
      <w:r>
        <w:rPr>
          <w:position w:val="-5"/>
          <w:sz w:val="20"/>
        </w:rPr>
        <w:t>D</w:t>
      </w:r>
      <w:r>
        <w:rPr>
          <w:sz w:val="20"/>
        </w:rPr>
        <w:t xml:space="preserve"> = </w:t>
      </w:r>
      <w:r>
        <w:rPr>
          <w:color w:val="000000"/>
          <w:sz w:val="20"/>
        </w:rPr>
        <w:t>0,0472</w:t>
      </w:r>
      <w:r>
        <w:rPr>
          <w:sz w:val="20"/>
        </w:rPr>
        <w:t xml:space="preserve"> úderů/rok</w:t>
      </w:r>
    </w:p>
    <w:p>
      <w:pPr>
        <w:pStyle w:val="BODY"/>
        <w:numPr>
          <w:ilvl w:val="0"/>
          <w:numId w:val="1"/>
        </w:num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nepřímé údery vedle stavby N</w:t>
      </w:r>
      <w:r>
        <w:rPr>
          <w:position w:val="-5"/>
          <w:sz w:val="20"/>
        </w:rPr>
        <w:t>M</w:t>
      </w:r>
      <w:r>
        <w:rPr>
          <w:sz w:val="20"/>
        </w:rPr>
        <w:t xml:space="preserve"> = </w:t>
      </w:r>
      <w:r>
        <w:rPr>
          <w:color w:val="000000"/>
          <w:sz w:val="20"/>
        </w:rPr>
        <w:t>2,0363</w:t>
      </w:r>
      <w:r>
        <w:rPr>
          <w:sz w:val="20"/>
        </w:rPr>
        <w:t xml:space="preserve"> úderů/rok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je očekáván.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19" w:name="__RefHeading___Toc1959_3827876098"/>
      <w:bookmarkStart w:id="20" w:name="_Toc152836572"/>
      <w:bookmarkEnd w:id="19"/>
      <w:r>
        <w:rPr/>
        <w:t>7.3 Rozdělení budovy do zón ochrany před bleskem/zón</w:t>
      </w:r>
      <w:bookmarkEnd w:id="20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Celá stavba </w:t>
      </w:r>
      <w:r>
        <w:rPr>
          <w:color w:val="000000"/>
          <w:sz w:val="20"/>
        </w:rPr>
        <w:t>objekt</w:t>
      </w:r>
      <w:r>
        <w:rPr>
          <w:sz w:val="20"/>
        </w:rPr>
        <w:t xml:space="preserve"> nebyla rozdělena do žádných zón ochrany před bleskem: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tbl>
      <w:tblPr>
        <w:tblW w:w="9406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406"/>
      </w:tblGrid>
      <w:tr>
        <w:trPr>
          <w:cantSplit w:val="true"/>
        </w:trPr>
        <w:tc>
          <w:tcPr>
            <w:tcW w:w="9406" w:type="dxa"/>
            <w:tcBorders/>
            <w:shd w:color="auto" w:fill="auto" w:val="clear"/>
            <w:vAlign w:val="center"/>
          </w:tcPr>
          <w:tbl>
            <w:tblPr>
              <w:tblW w:w="9300" w:type="dxa"/>
              <w:jc w:val="left"/>
              <w:tblInd w:w="36" w:type="dxa"/>
              <w:tblLayout w:type="fixed"/>
              <w:tblCellMar>
                <w:top w:w="0" w:type="dxa"/>
                <w:left w:w="36" w:type="dxa"/>
                <w:bottom w:w="0" w:type="dxa"/>
                <w:right w:w="36" w:type="dxa"/>
              </w:tblCellMar>
              <w:tblLook w:firstRow="1" w:noVBand="1" w:lastRow="0" w:firstColumn="1" w:lastColumn="0" w:noHBand="0" w:val="04a0"/>
            </w:tblPr>
            <w:tblGrid>
              <w:gridCol w:w="6975"/>
              <w:gridCol w:w="2324"/>
            </w:tblGrid>
            <w:tr>
              <w:trPr>
                <w:cantSplit w:val="true"/>
              </w:trPr>
              <w:tc>
                <w:tcPr>
                  <w:tcW w:w="6975" w:type="dxa"/>
                  <w:tcBorders/>
                  <w:shd w:color="auto" w:fill="auto" w:val="clea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L1tz – čas, po který se nacházejí osoby v zóně:</w:t>
                  </w:r>
                </w:p>
              </w:tc>
              <w:tc>
                <w:tcPr>
                  <w:tcW w:w="2324" w:type="dxa"/>
                  <w:tcBorders/>
                  <w:shd w:color="auto" w:fill="auto" w:val="clea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1 000 hodiny/rok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6975" w:type="dxa"/>
                  <w:tcBorders/>
                  <w:shd w:color="auto" w:fill="auto" w:val="clea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L1nz – počet možných ohrožených osob:</w:t>
                  </w:r>
                </w:p>
              </w:tc>
              <w:tc>
                <w:tcPr>
                  <w:tcW w:w="2324" w:type="dxa"/>
                  <w:tcBorders/>
                  <w:shd w:color="auto" w:fill="auto" w:val="clea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0 osoby</w:t>
                  </w:r>
                </w:p>
              </w:tc>
            </w:tr>
          </w:tbl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21" w:name="__RefHeading___Toc1961_3827876098"/>
      <w:bookmarkStart w:id="22" w:name="_Toc152836573"/>
      <w:bookmarkEnd w:id="21"/>
      <w:r>
        <w:rPr/>
        <w:t>7.4 Inženýrské sítě</w:t>
      </w:r>
      <w:bookmarkEnd w:id="22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Analýza rizika se vyhodnocuje pro všechna příchozí a odchozí napájecí vedení budovy. Elektricky vodivé trubky by neměly být brány v úvahu v případě, že jsou připojeny k hlavní ochranné přípojnici budovy (HEP). Pokud žádné takové připojení neexistuje, je nutné je v analýze rizik uvažovat (vyrovnání se potenciálů!).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V rámci analýzy rizik byly pro objekt </w:t>
      </w:r>
      <w:r>
        <w:rPr>
          <w:color w:val="000000"/>
          <w:sz w:val="20"/>
        </w:rPr>
        <w:t>objekt</w:t>
      </w:r>
      <w:r>
        <w:rPr>
          <w:sz w:val="20"/>
        </w:rPr>
        <w:t xml:space="preserve"> zohledněny následné inženýrské sítě: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>- Vedení 1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Parametry byly stanoveny pro každé vedení, například: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rPr/>
      </w:pPr>
      <w:r>
        <w:rPr>
          <w:rFonts w:eastAsia="Arial" w:ascii="Arial" w:hAnsi="Arial"/>
        </w:rPr>
        <w:t>Typ vedení (nadzemní/podzemní)</w:t>
      </w:r>
    </w:p>
    <w:p>
      <w:pPr>
        <w:pStyle w:val="BODY"/>
        <w:numPr>
          <w:ilvl w:val="0"/>
          <w:numId w:val="3"/>
        </w:num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Délka vedení (mimo budovu) </w:t>
      </w:r>
    </w:p>
    <w:p>
      <w:pPr>
        <w:pStyle w:val="BODY"/>
        <w:numPr>
          <w:ilvl w:val="0"/>
          <w:numId w:val="3"/>
        </w:num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Okolí vedení</w:t>
      </w:r>
    </w:p>
    <w:p>
      <w:pPr>
        <w:pStyle w:val="BODY"/>
        <w:numPr>
          <w:ilvl w:val="0"/>
          <w:numId w:val="3"/>
        </w:num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Související konstrukční systém </w:t>
      </w:r>
    </w:p>
    <w:p>
      <w:pPr>
        <w:pStyle w:val="BODY"/>
        <w:numPr>
          <w:ilvl w:val="0"/>
          <w:numId w:val="3"/>
        </w:num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Typ vnitřní kabeláže </w:t>
      </w:r>
    </w:p>
    <w:p>
      <w:pPr>
        <w:pStyle w:val="BODY"/>
        <w:numPr>
          <w:ilvl w:val="0"/>
          <w:numId w:val="3"/>
        </w:numPr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color w:val="000000"/>
        </w:rPr>
      </w:pPr>
      <w:r>
        <w:rPr>
          <w:sz w:val="20"/>
        </w:rPr>
        <w:t>Nejnižší jmenovité impulzní výdržné napětí</w:t>
      </w:r>
      <w:r>
        <w:rPr>
          <w:color w:val="000000"/>
          <w:sz w:val="20"/>
        </w:rPr>
        <w:t xml:space="preserve"> (</w:t>
      </w:r>
      <w:r>
        <w:rPr>
          <w:sz w:val="20"/>
        </w:rPr>
        <w:t>Výdržné napětí na svorkách</w:t>
      </w:r>
      <w:r>
        <w:rPr>
          <w:color w:val="000000"/>
        </w:rPr>
        <w:t>)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color w:val="000000"/>
        </w:rPr>
      </w:pPr>
      <w:r>
        <w:rPr>
          <w:sz w:val="20"/>
        </w:rPr>
        <w:t>jako soubor vstupních dat</w:t>
      </w:r>
      <w:r>
        <w:rPr>
          <w:color w:val="000000"/>
        </w:rPr>
        <w:t>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Na tomto základě je vyhodnoceno potenciální nebezpečí pro budovy a jejích obsah v důsledku úderu blesku vedle vedení v analýze rizik.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23" w:name="__RefHeading___Toc1963_3827876098"/>
      <w:bookmarkStart w:id="24" w:name="_Toc152836574"/>
      <w:bookmarkEnd w:id="23"/>
      <w:r>
        <w:rPr/>
        <w:t>7.5 Riziko požáru</w:t>
      </w:r>
      <w:bookmarkEnd w:id="24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 xml:space="preserve">Riziko požáru v budově je základním prvkem při posuzování potřebných kontrolních opatření. Riziko požáru bylo uvažováno při výpočtu pro budovu </w:t>
      </w:r>
      <w:r>
        <w:rPr>
          <w:rFonts w:eastAsia="Arial" w:ascii="Arial" w:hAnsi="Arial"/>
          <w:color w:val="000000"/>
        </w:rPr>
        <w:t>objekt</w:t>
      </w:r>
      <w:r>
        <w:rPr>
          <w:rFonts w:eastAsia="Arial" w:ascii="Arial" w:hAnsi="Arial"/>
        </w:rPr>
        <w:t xml:space="preserve"> jako: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ab/>
        <w:t>- obvyklé riziko požáru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25" w:name="__RefHeading___Toc1965_3827876098"/>
      <w:bookmarkStart w:id="26" w:name="_Toc152836575"/>
      <w:bookmarkEnd w:id="25"/>
      <w:r>
        <w:rPr/>
        <w:t>7.6 Opatření pro snížení následku požáru</w:t>
      </w:r>
      <w:bookmarkEnd w:id="26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Následující opatření byla vybrána ke snížení následků požáru ve výpočtu: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>- hasící přístroje, ruční hasící přístroje, hydranty, protipožární stěny (odolnost vyšší 120 min), chráněné únikové cesty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/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27" w:name="__RefHeading___Toc1967_3827876098"/>
      <w:bookmarkStart w:id="28" w:name="_Toc152836576"/>
      <w:bookmarkEnd w:id="27"/>
      <w:r>
        <w:rPr/>
        <w:t>7.7 Jiné nebezpečí v budově pro osoby</w:t>
      </w:r>
      <w:bookmarkEnd w:id="28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Vzhledem k počtu osob je možné nebezpečí paniky pro budovy </w:t>
      </w:r>
      <w:r>
        <w:rPr>
          <w:color w:val="000000"/>
          <w:sz w:val="20"/>
        </w:rPr>
        <w:t>objekt</w:t>
      </w:r>
      <w:r>
        <w:rPr>
          <w:color w:val="FF0000"/>
          <w:sz w:val="20"/>
        </w:rPr>
        <w:t xml:space="preserve"> </w:t>
      </w:r>
      <w:r>
        <w:rPr>
          <w:sz w:val="20"/>
        </w:rPr>
        <w:t>klasifikovat takto: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ab/>
        <w:t>- průměrná úroveň paniky (např. budovy pro kulturní nebo sportovní podniky účast, mezi 100 a 1000 návštěvníky)</w:t>
      </w:r>
    </w:p>
    <w:p>
      <w:pPr>
        <w:pStyle w:val="Nadpis1"/>
        <w:rPr/>
      </w:pPr>
      <w:bookmarkStart w:id="29" w:name="__RefHeading___Toc1969_3827876098"/>
      <w:bookmarkStart w:id="30" w:name="_Toc152836577"/>
      <w:bookmarkEnd w:id="29"/>
      <w:r>
        <w:rPr/>
        <w:t>8. Vyhodnocení rizika</w:t>
      </w:r>
      <w:bookmarkEnd w:id="30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color w:val="000000"/>
          <w:sz w:val="20"/>
        </w:rPr>
      </w:pPr>
      <w:r>
        <w:rPr>
          <w:sz w:val="20"/>
        </w:rPr>
        <w:t>V bodu</w:t>
      </w:r>
      <w:r>
        <w:rPr>
          <w:color w:val="000000"/>
          <w:sz w:val="20"/>
        </w:rPr>
        <w:t xml:space="preserve"> 4.1 </w:t>
      </w:r>
      <w:r>
        <w:rPr>
          <w:sz w:val="20"/>
        </w:rPr>
        <w:t>je popsáno riziko a v bodu</w:t>
      </w:r>
      <w:r>
        <w:rPr>
          <w:color w:val="000000"/>
          <w:sz w:val="20"/>
        </w:rPr>
        <w:t xml:space="preserve"> 5 je toto riziko vypočteno.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U každého rizika značí označení: přípustné = modrý pruh; vyhovující = zelený pruh; nevyhovující = červený pruh.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31" w:name="__RefHeading___Toc1971_3827876098"/>
      <w:bookmarkStart w:id="32" w:name="_Toc152836578"/>
      <w:bookmarkEnd w:id="31"/>
      <w:r>
        <w:rPr/>
        <w:t>8.1 Riziko R1, lidské životy</w:t>
      </w:r>
      <w:bookmarkEnd w:id="32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Pro osoby vně budovy, ale i uvnitř objekt byla určena následující rizika: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837"/>
        <w:gridCol w:w="3660"/>
      </w:tblGrid>
      <w:tr>
        <w:trPr/>
        <w:tc>
          <w:tcPr>
            <w:tcW w:w="4837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sz w:val="20"/>
              </w:rPr>
            </w:pPr>
            <w:r>
              <w:rPr>
                <w:sz w:val="20"/>
              </w:rPr>
              <w:t>Přípustné riziko R</w:t>
            </w:r>
            <w:r>
              <w:rPr>
                <w:position w:val="-5"/>
                <w:sz w:val="20"/>
              </w:rPr>
              <w:t>T</w:t>
            </w:r>
            <w:r>
              <w:rPr>
                <w:sz w:val="20"/>
              </w:rPr>
              <w:t>:</w:t>
            </w:r>
          </w:p>
        </w:tc>
        <w:tc>
          <w:tcPr>
            <w:tcW w:w="366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1,00E-05</w:t>
            </w:r>
          </w:p>
        </w:tc>
      </w:tr>
      <w:tr>
        <w:trPr/>
        <w:tc>
          <w:tcPr>
            <w:tcW w:w="4837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sz w:val="20"/>
              </w:rPr>
            </w:pPr>
            <w:r>
              <w:rPr>
                <w:sz w:val="20"/>
              </w:rPr>
              <w:t>Vypočtené riziko R1 (nechráněné):</w:t>
            </w:r>
          </w:p>
        </w:tc>
        <w:tc>
          <w:tcPr>
            <w:tcW w:w="366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2,88E-05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822"/>
        <w:gridCol w:w="3675"/>
      </w:tblGrid>
      <w:tr>
        <w:trPr/>
        <w:tc>
          <w:tcPr>
            <w:tcW w:w="4822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/>
            </w:pPr>
            <w:r>
              <w:rPr>
                <w:sz w:val="20"/>
              </w:rPr>
              <w:t>Vypočtené riziko R1 (chráněné):</w:t>
            </w:r>
          </w:p>
        </w:tc>
        <w:tc>
          <w:tcPr>
            <w:tcW w:w="36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1,03E-06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/>
        <w:drawing>
          <wp:inline distT="0" distB="0" distL="0" distR="0">
            <wp:extent cx="2981325" cy="762000"/>
            <wp:effectExtent l="0" t="0" r="0" b="0"/>
            <wp:docPr id="2" name="_tx_id_4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tx_id_4_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981325" cy="762000"/>
            <wp:effectExtent l="0" t="0" r="0" b="0"/>
            <wp:docPr id="3" name="_tx_id_5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tx_id_5_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Za účelem snížení rizika je nutno realizovat ochranná opatření popsaná v bodě </w:t>
      </w:r>
      <w:r>
        <w:rPr>
          <w:color w:val="000000"/>
          <w:sz w:val="20"/>
        </w:rPr>
        <w:t>6</w:t>
      </w:r>
      <w:r>
        <w:rPr>
          <w:sz w:val="20"/>
        </w:rPr>
        <w:t>.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33" w:name="__RefHeading___Toc1973_3827876098"/>
      <w:bookmarkStart w:id="34" w:name="_Toc152836579"/>
      <w:bookmarkEnd w:id="33"/>
      <w:r>
        <w:rPr/>
        <w:t>8.2 Riziko R2, veřejné služby</w:t>
      </w:r>
      <w:bookmarkEnd w:id="34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Riziko R2, ztráty veřejných služeb, bylo pro objekt objekt stanoveno následovně: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822"/>
        <w:gridCol w:w="3675"/>
      </w:tblGrid>
      <w:tr>
        <w:trPr/>
        <w:tc>
          <w:tcPr>
            <w:tcW w:w="4822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  <w:t>Přípustné riziko R</w:t>
            </w:r>
            <w:r>
              <w:rPr>
                <w:rFonts w:eastAsia="Arial" w:ascii="Arial" w:hAnsi="Arial"/>
                <w:position w:val="-5"/>
              </w:rPr>
              <w:t>T</w:t>
            </w:r>
            <w:r>
              <w:rPr>
                <w:rFonts w:eastAsia="Arial" w:ascii="Arial" w:hAnsi="Arial"/>
              </w:rPr>
              <w:t>:</w:t>
            </w:r>
          </w:p>
        </w:tc>
        <w:tc>
          <w:tcPr>
            <w:tcW w:w="36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1,00E-03</w:t>
            </w:r>
          </w:p>
        </w:tc>
      </w:tr>
      <w:tr>
        <w:trPr/>
        <w:tc>
          <w:tcPr>
            <w:tcW w:w="4822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  <w:t>Vypočtené riziko R2 (nechráněné):</w:t>
            </w:r>
          </w:p>
        </w:tc>
        <w:tc>
          <w:tcPr>
            <w:tcW w:w="36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9,72E-05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tbl>
      <w:tblPr>
        <w:tblW w:w="12173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822"/>
        <w:gridCol w:w="3675"/>
        <w:gridCol w:w="3676"/>
      </w:tblGrid>
      <w:tr>
        <w:trPr/>
        <w:tc>
          <w:tcPr>
            <w:tcW w:w="4822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  <w:t>Vypočtené riziko R2 (chráněné):</w:t>
            </w:r>
          </w:p>
        </w:tc>
        <w:tc>
          <w:tcPr>
            <w:tcW w:w="3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</w:r>
          </w:p>
        </w:tc>
        <w:tc>
          <w:tcPr>
            <w:tcW w:w="367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3,61E-06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/>
        <w:drawing>
          <wp:inline distT="0" distB="0" distL="0" distR="0">
            <wp:extent cx="2981325" cy="762000"/>
            <wp:effectExtent l="0" t="0" r="0" b="0"/>
            <wp:docPr id="4" name="_tx_id_6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tx_id_6_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981325" cy="762000"/>
            <wp:effectExtent l="0" t="0" r="0" b="0"/>
            <wp:docPr id="5" name="_tx_id_7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tx_id_7_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Za účelem snížení rizika je nutno realizovat ochranná opatření popsaná v bodě </w:t>
      </w:r>
      <w:r>
        <w:rPr>
          <w:color w:val="000000"/>
          <w:sz w:val="20"/>
        </w:rPr>
        <w:t>6</w:t>
      </w:r>
      <w:r>
        <w:rPr>
          <w:sz w:val="20"/>
        </w:rPr>
        <w:t>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35" w:name="__RefHeading___Toc1975_3827876098"/>
      <w:bookmarkStart w:id="36" w:name="_Toc152836580"/>
      <w:bookmarkEnd w:id="35"/>
      <w:r>
        <w:rPr/>
        <w:t>8.3 Riziko R3, kulturní památky</w:t>
      </w:r>
      <w:bookmarkEnd w:id="36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/>
      </w:pPr>
      <w:r>
        <w:rPr>
          <w:sz w:val="20"/>
        </w:rPr>
        <w:t xml:space="preserve">Riziko R3, ztráta kulturního dědictví, bylo pro objekt </w:t>
      </w:r>
      <w:r>
        <w:rPr>
          <w:color w:val="000000"/>
          <w:sz w:val="20"/>
        </w:rPr>
        <w:t>objekt</w:t>
      </w:r>
      <w:r>
        <w:rPr>
          <w:sz w:val="20"/>
        </w:rPr>
        <w:t xml:space="preserve"> stanoveno následovně: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837"/>
        <w:gridCol w:w="3660"/>
      </w:tblGrid>
      <w:tr>
        <w:trPr/>
        <w:tc>
          <w:tcPr>
            <w:tcW w:w="483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  <w:t>Přípustné riziko R</w:t>
            </w:r>
            <w:r>
              <w:rPr>
                <w:rFonts w:eastAsia="Arial" w:ascii="Arial" w:hAnsi="Arial"/>
                <w:position w:val="-5"/>
              </w:rPr>
              <w:t>T</w:t>
            </w:r>
            <w:r>
              <w:rPr>
                <w:rFonts w:eastAsia="Arial" w:ascii="Arial" w:hAnsi="Arial"/>
              </w:rPr>
              <w:t>:</w:t>
            </w:r>
          </w:p>
        </w:tc>
        <w:tc>
          <w:tcPr>
            <w:tcW w:w="366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1,00E-04</w:t>
            </w:r>
          </w:p>
        </w:tc>
      </w:tr>
      <w:tr>
        <w:trPr/>
        <w:tc>
          <w:tcPr>
            <w:tcW w:w="483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  <w:t>Vypočtené riziko R3 (nechráněné):</w:t>
            </w:r>
          </w:p>
        </w:tc>
        <w:tc>
          <w:tcPr>
            <w:tcW w:w="366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9,72E-05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837"/>
        <w:gridCol w:w="3660"/>
      </w:tblGrid>
      <w:tr>
        <w:trPr/>
        <w:tc>
          <w:tcPr>
            <w:tcW w:w="483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</w:rPr>
              <w:t>Vypočtené riziko R3 (chráněné):</w:t>
            </w:r>
          </w:p>
        </w:tc>
        <w:tc>
          <w:tcPr>
            <w:tcW w:w="3660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3,61E-06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/>
        <w:drawing>
          <wp:inline distT="0" distB="0" distL="0" distR="0">
            <wp:extent cx="2981325" cy="762000"/>
            <wp:effectExtent l="0" t="0" r="0" b="0"/>
            <wp:docPr id="6" name="_tx_id_8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tx_id_8_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981325" cy="762000"/>
            <wp:effectExtent l="0" t="0" r="0" b="0"/>
            <wp:docPr id="7" name="_tx_id_9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tx_id_9_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Za účelem snížení rizika je nutno realizovat ochranná opatření popsaná v bodě </w:t>
      </w:r>
      <w:r>
        <w:rPr>
          <w:color w:val="000000"/>
          <w:sz w:val="20"/>
        </w:rPr>
        <w:t>6</w:t>
      </w:r>
      <w:r>
        <w:rPr>
          <w:sz w:val="20"/>
        </w:rPr>
        <w:t>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37" w:name="__RefHeading___Toc1977_3827876098"/>
      <w:bookmarkStart w:id="38" w:name="_Toc152836581"/>
      <w:bookmarkEnd w:id="37"/>
      <w:r>
        <w:rPr/>
        <w:t>8.4 Riziko R4, ekonomické ztráty s ochrannými opatřeními</w:t>
      </w:r>
      <w:bookmarkEnd w:id="38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Pro ekonomickou analýzu se provede srovnání rizika R4: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>- objekt (skutečný stav)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>- objekt (požadovaný stav)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Výsledkem této úvahy je, zda náklady na ochranná opatření, která se mají použít ve srovnání s hodnotou budovy, jsou ekonomicky výhodné.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3"/>
        <w:rPr/>
      </w:pPr>
      <w:bookmarkStart w:id="39" w:name="__RefHeading___Toc1979_3827876098"/>
      <w:bookmarkStart w:id="40" w:name="_Toc152836582"/>
      <w:bookmarkEnd w:id="39"/>
      <w:r>
        <w:rPr/>
        <w:t>8.4.1 Parametry výpočtu ročních ztrát při ochranných opatřeních</w:t>
      </w:r>
      <w:bookmarkEnd w:id="40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tbl>
      <w:tblPr>
        <w:tblW w:w="8783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5513"/>
        <w:gridCol w:w="3269"/>
      </w:tblGrid>
      <w:tr>
        <w:trPr/>
        <w:tc>
          <w:tcPr>
            <w:tcW w:w="551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 xml:space="preserve">i   </w:t>
            </w:r>
            <w:r>
              <w:rPr>
                <w:rFonts w:eastAsia="Arial" w:ascii="Arial" w:hAnsi="Arial"/>
              </w:rPr>
              <w:t>– úroková míra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32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jc w:val="right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5,00 %</w:t>
            </w:r>
          </w:p>
        </w:tc>
      </w:tr>
      <w:tr>
        <w:trPr/>
        <w:tc>
          <w:tcPr>
            <w:tcW w:w="551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a</w:t>
            </w:r>
            <w:r>
              <w:rPr>
                <w:rFonts w:eastAsia="Arial" w:ascii="Arial" w:hAnsi="Arial"/>
                <w:color w:val="000000"/>
                <w:position w:val="-6"/>
              </w:rPr>
              <w:t>t</w:t>
            </w:r>
            <w:r>
              <w:rPr>
                <w:rFonts w:eastAsia="Arial" w:ascii="Arial" w:hAnsi="Arial"/>
                <w:color w:val="000000"/>
              </w:rPr>
              <w:t xml:space="preserve"> </w:t>
            </w:r>
            <w:r>
              <w:rPr>
                <w:rFonts w:eastAsia="Arial" w:ascii="Arial" w:hAnsi="Arial"/>
              </w:rPr>
              <w:t>– doba návratnosti – amortizace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32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jc w:val="right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25,00 rok</w:t>
            </w:r>
          </w:p>
        </w:tc>
      </w:tr>
      <w:tr>
        <w:trPr/>
        <w:tc>
          <w:tcPr>
            <w:tcW w:w="551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 xml:space="preserve">a  </w:t>
            </w:r>
            <w:r>
              <w:rPr>
                <w:rFonts w:eastAsia="Arial" w:ascii="Arial" w:hAnsi="Arial"/>
              </w:rPr>
              <w:t>– odpisová míra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32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jc w:val="right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4,00 %</w:t>
            </w:r>
          </w:p>
        </w:tc>
      </w:tr>
      <w:tr>
        <w:trPr/>
        <w:tc>
          <w:tcPr>
            <w:tcW w:w="551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 xml:space="preserve">m </w:t>
            </w:r>
            <w:r>
              <w:rPr>
                <w:rFonts w:eastAsia="Arial" w:ascii="Arial" w:hAnsi="Arial"/>
              </w:rPr>
              <w:t>– náklady na údržbu</w:t>
            </w:r>
            <w:r>
              <w:rPr>
                <w:rFonts w:eastAsia="Arial" w:ascii="Arial" w:hAnsi="Arial"/>
                <w:color w:val="000000"/>
              </w:rPr>
              <w:t>:</w:t>
            </w:r>
          </w:p>
        </w:tc>
        <w:tc>
          <w:tcPr>
            <w:tcW w:w="32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jc w:val="right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2,00 %</w:t>
            </w:r>
          </w:p>
        </w:tc>
      </w:tr>
    </w:tbl>
    <w:p>
      <w:pPr>
        <w:pStyle w:val="Nadpis3"/>
        <w:rPr/>
      </w:pPr>
      <w:bookmarkStart w:id="41" w:name="__RefHeading___Toc1981_3827876098"/>
      <w:bookmarkStart w:id="42" w:name="_Toc152836583"/>
      <w:bookmarkEnd w:id="41"/>
      <w:r>
        <w:rPr/>
        <w:t>8.4.2 Hodnota budovy, včetně následných ztrát</w:t>
      </w:r>
      <w:bookmarkEnd w:id="42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color w:val="000000"/>
          <w:sz w:val="20"/>
        </w:rPr>
      </w:pPr>
      <w:r>
        <w:rPr>
          <w:b/>
          <w:color w:val="000000"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Obvyklá cena ČSN EN 62305-2:2013-02 umožňuje použití tabulek, ceny založené na množství lze určit přibližně.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tbl>
      <w:tblPr>
        <w:tblW w:w="9300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930"/>
        <w:gridCol w:w="8369"/>
      </w:tblGrid>
      <w:tr>
        <w:trPr>
          <w:cantSplit w:val="true"/>
        </w:trPr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center"/>
              <w:rPr>
                <w:rFonts w:ascii="Wingdings" w:hAnsi="Wingdings" w:eastAsia="Wingdings"/>
              </w:rPr>
            </w:pPr>
            <w:r>
              <w:rPr>
                <w:rFonts w:eastAsia="Wingdings" w:ascii="Wingdings" w:hAnsi="Wingdings"/>
              </w:rPr>
              <w:t>¨</w:t>
            </w:r>
          </w:p>
        </w:tc>
        <w:tc>
          <w:tcPr>
            <w:tcW w:w="836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průmyslové zařízení</w:t>
            </w:r>
          </w:p>
        </w:tc>
      </w:tr>
      <w:tr>
        <w:trPr>
          <w:cantSplit w:val="true"/>
        </w:trPr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center"/>
              <w:rPr>
                <w:rFonts w:ascii="Wingdings" w:hAnsi="Wingdings" w:eastAsia="Wingdings"/>
              </w:rPr>
            </w:pPr>
            <w:r>
              <w:rPr>
                <w:rFonts w:eastAsia="Wingdings" w:ascii="Wingdings" w:hAnsi="Wingdings"/>
              </w:rPr>
              <w:t>¨</w:t>
            </w:r>
          </w:p>
        </w:tc>
        <w:tc>
          <w:tcPr>
            <w:tcW w:w="836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se zvířaty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tbl>
      <w:tblPr>
        <w:tblW w:w="9300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930"/>
        <w:gridCol w:w="8369"/>
      </w:tblGrid>
      <w:tr>
        <w:trPr>
          <w:cantSplit w:val="true"/>
        </w:trPr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center"/>
              <w:rPr>
                <w:rFonts w:ascii="Wingdings" w:hAnsi="Wingdings" w:eastAsia="Wingdings"/>
              </w:rPr>
            </w:pPr>
            <w:r>
              <w:rPr>
                <w:rFonts w:eastAsia="Wingdings" w:ascii="Wingdings" w:hAnsi="Wingdings"/>
              </w:rPr>
              <w:t>¨</w:t>
            </w:r>
          </w:p>
        </w:tc>
        <w:tc>
          <w:tcPr>
            <w:tcW w:w="836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náklady na rekonstrukci: nízké</w:t>
            </w:r>
          </w:p>
        </w:tc>
      </w:tr>
      <w:tr>
        <w:trPr>
          <w:cantSplit w:val="true"/>
        </w:trPr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center"/>
              <w:rPr>
                <w:rFonts w:ascii="Wingdings" w:hAnsi="Wingdings" w:eastAsia="Wingdings"/>
              </w:rPr>
            </w:pPr>
            <w:r>
              <w:rPr>
                <w:rFonts w:eastAsia="Wingdings" w:ascii="Wingdings" w:hAnsi="Wingdings"/>
              </w:rPr>
              <w:t>þ</w:t>
            </w:r>
          </w:p>
        </w:tc>
        <w:tc>
          <w:tcPr>
            <w:tcW w:w="836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náklady na rekonstrukci: střední</w:t>
            </w:r>
          </w:p>
        </w:tc>
      </w:tr>
      <w:tr>
        <w:trPr>
          <w:cantSplit w:val="true"/>
        </w:trPr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center"/>
              <w:rPr>
                <w:rFonts w:ascii="Wingdings" w:hAnsi="Wingdings" w:eastAsia="Wingdings"/>
              </w:rPr>
            </w:pPr>
            <w:r>
              <w:rPr>
                <w:rFonts w:eastAsia="Wingdings" w:ascii="Wingdings" w:hAnsi="Wingdings"/>
              </w:rPr>
              <w:t>¨</w:t>
            </w:r>
          </w:p>
        </w:tc>
        <w:tc>
          <w:tcPr>
            <w:tcW w:w="836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náklady na rekonstrukci: vysoké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tbl>
      <w:tblPr>
        <w:tblW w:w="9300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5580"/>
        <w:gridCol w:w="3719"/>
      </w:tblGrid>
      <w:tr>
        <w:trPr>
          <w:cantSplit w:val="true"/>
        </w:trPr>
        <w:tc>
          <w:tcPr>
            <w:tcW w:w="558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Velikost prostoru v budově?</w:t>
            </w:r>
          </w:p>
        </w:tc>
        <w:tc>
          <w:tcPr>
            <w:tcW w:w="371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2 000,00 mł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tbl>
      <w:tblPr>
        <w:tblW w:w="9406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406"/>
      </w:tblGrid>
      <w:tr>
        <w:trPr>
          <w:cantSplit w:val="true"/>
        </w:trPr>
        <w:tc>
          <w:tcPr>
            <w:tcW w:w="9406" w:type="dxa"/>
            <w:tcBorders/>
            <w:shd w:color="auto" w:fill="auto" w:val="clear"/>
          </w:tcPr>
          <w:tbl>
            <w:tblPr>
              <w:tblW w:w="9300" w:type="dxa"/>
              <w:jc w:val="left"/>
              <w:tblInd w:w="51" w:type="dxa"/>
              <w:tblLayout w:type="fixed"/>
              <w:tblCellMar>
                <w:top w:w="0" w:type="dxa"/>
                <w:left w:w="46" w:type="dxa"/>
                <w:bottom w:w="0" w:type="dxa"/>
                <w:right w:w="46" w:type="dxa"/>
              </w:tblCellMar>
              <w:tblLook w:firstRow="1" w:noVBand="1" w:lastRow="0" w:firstColumn="1" w:lastColumn="0" w:noHBand="0" w:val="04a0"/>
            </w:tblPr>
            <w:tblGrid>
              <w:gridCol w:w="5580"/>
              <w:gridCol w:w="3719"/>
            </w:tblGrid>
            <w:tr>
              <w:trPr>
                <w:cantSplit w:val="true"/>
              </w:trPr>
              <w:tc>
                <w:tcPr>
                  <w:tcW w:w="5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L4ca – cena zvířat v zóně: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0 Kč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5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L4cb – hodnota v zóně: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14 580 000 Kč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5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L4cc – hodnota obsahu v zóně: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1 944 000 Kč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5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L4cs – hodnota systémů v zóně (včetně jejich funkcí):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2 916 000 Kč</w:t>
                  </w:r>
                </w:p>
              </w:tc>
            </w:tr>
            <w:tr>
              <w:trPr>
                <w:cantSplit w:val="true"/>
              </w:trPr>
              <w:tc>
                <w:tcPr>
                  <w:tcW w:w="5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celkově: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1"/>
                    <w:widowControl w:val="false"/>
                    <w:tabs>
                      <w:tab w:val="clear" w:pos="1134"/>
                      <w:tab w:val="left" w:pos="850" w:leader="none"/>
                      <w:tab w:val="left" w:pos="2268" w:leader="none"/>
                      <w:tab w:val="left" w:pos="3402" w:leader="none"/>
                      <w:tab w:val="left" w:pos="4536" w:leader="none"/>
                      <w:tab w:val="left" w:pos="5670" w:leader="none"/>
                      <w:tab w:val="left" w:pos="6804" w:leader="none"/>
                      <w:tab w:val="left" w:pos="7938" w:leader="none"/>
                      <w:tab w:val="left" w:pos="9072" w:leader="none"/>
                      <w:tab w:val="left" w:pos="10206" w:leader="none"/>
                      <w:tab w:val="left" w:pos="11340" w:leader="none"/>
                      <w:tab w:val="left" w:pos="12474" w:leader="none"/>
                      <w:tab w:val="left" w:pos="13608" w:leader="none"/>
                      <w:tab w:val="left" w:pos="14742" w:leader="none"/>
                      <w:tab w:val="left" w:pos="15876" w:leader="none"/>
                    </w:tabs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19 440 000 Kč</w:t>
                  </w:r>
                </w:p>
              </w:tc>
            </w:tr>
          </w:tbl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tbl>
      <w:tblPr>
        <w:tblW w:w="8783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5513"/>
        <w:gridCol w:w="3269"/>
      </w:tblGrid>
      <w:tr>
        <w:trPr/>
        <w:tc>
          <w:tcPr>
            <w:tcW w:w="5513" w:type="dxa"/>
            <w:tcBorders/>
            <w:shd w:color="auto" w:fill="auto" w:val="clear"/>
          </w:tcPr>
          <w:p>
            <w:pPr>
              <w:pStyle w:val="BODY"/>
              <w:widowControl w:val="false"/>
              <w:tabs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lineRule="auto" w:line="240"/>
              <w:rPr>
                <w:color w:val="000000"/>
              </w:rPr>
            </w:pPr>
            <w:r>
              <w:rPr>
                <w:sz w:val="20"/>
              </w:rPr>
              <w:t>Jednorázové náklady na ochranná opatření:</w:t>
            </w:r>
          </w:p>
        </w:tc>
        <w:tc>
          <w:tcPr>
            <w:tcW w:w="32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200"/>
              <w:jc w:val="right"/>
              <w:rPr>
                <w:rFonts w:ascii="Arial" w:hAnsi="Arial" w:eastAsia="Arial"/>
                <w:color w:val="000000"/>
              </w:rPr>
            </w:pPr>
            <w:r>
              <w:rPr>
                <w:rFonts w:eastAsia="Arial" w:ascii="Arial" w:hAnsi="Arial"/>
                <w:color w:val="000000"/>
              </w:rPr>
              <w:t>100 000,00 Kč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color w:val="000000"/>
        </w:rPr>
      </w:pPr>
      <w:r>
        <w:rPr>
          <w:color w:val="000000"/>
        </w:rPr>
      </w:r>
    </w:p>
    <w:p>
      <w:pPr>
        <w:pStyle w:val="Nadpis3"/>
        <w:rPr/>
      </w:pPr>
      <w:bookmarkStart w:id="43" w:name="__RefHeading___Toc1983_3827876098"/>
      <w:bookmarkStart w:id="44" w:name="_Toc152836584"/>
      <w:bookmarkEnd w:id="43"/>
      <w:r>
        <w:rPr/>
        <w:t>8.4.3 Vyhodnocení rizika R4</w:t>
      </w:r>
      <w:bookmarkEnd w:id="44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color w:val="000000"/>
          <w:sz w:val="20"/>
        </w:rPr>
      </w:pPr>
      <w:r>
        <w:rPr>
          <w:b/>
          <w:color w:val="000000"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/>
      </w:pPr>
      <w:r>
        <w:rPr>
          <w:sz w:val="20"/>
        </w:rPr>
        <w:t>Roční náklady na celkové ztráty při absenci ochranných opatření: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928"/>
        <w:gridCol w:w="6569"/>
      </w:tblGrid>
      <w:tr>
        <w:trPr/>
        <w:tc>
          <w:tcPr>
            <w:tcW w:w="192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jc w:val="center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b/>
                <w:color w:val="000000"/>
              </w:rPr>
              <w:t>C</w:t>
            </w:r>
            <w:r>
              <w:rPr>
                <w:rFonts w:eastAsia="Arial" w:ascii="Arial" w:hAnsi="Arial"/>
                <w:b/>
                <w:color w:val="000000"/>
                <w:position w:val="-5"/>
              </w:rPr>
              <w:t>L</w:t>
            </w:r>
          </w:p>
        </w:tc>
        <w:tc>
          <w:tcPr>
            <w:tcW w:w="65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30 248,76 Kč/rok</w:t>
            </w:r>
          </w:p>
        </w:tc>
      </w:tr>
    </w:tbl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/>
      </w:pPr>
      <w:r>
        <w:rPr>
          <w:sz w:val="20"/>
        </w:rPr>
        <w:t xml:space="preserve">Roční náklady na zbytkové ztráty: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928"/>
        <w:gridCol w:w="6569"/>
      </w:tblGrid>
      <w:tr>
        <w:trPr/>
        <w:tc>
          <w:tcPr>
            <w:tcW w:w="192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jc w:val="center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b/>
                <w:color w:val="000000"/>
              </w:rPr>
              <w:t>C</w:t>
            </w:r>
            <w:r>
              <w:rPr>
                <w:rFonts w:eastAsia="Arial" w:ascii="Arial" w:hAnsi="Arial"/>
                <w:b/>
                <w:color w:val="000000"/>
                <w:position w:val="-5"/>
              </w:rPr>
              <w:t>RL</w:t>
            </w:r>
          </w:p>
        </w:tc>
        <w:tc>
          <w:tcPr>
            <w:tcW w:w="65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1 390,94 Kč/rok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</w:rPr>
        <w:t xml:space="preserve">Roční náklady </w:t>
      </w:r>
      <w:r>
        <w:rPr>
          <w:rFonts w:eastAsia="Arial" w:ascii="Arial" w:hAnsi="Arial"/>
          <w:color w:val="000000"/>
        </w:rPr>
        <w:t xml:space="preserve">na </w:t>
      </w:r>
      <w:r>
        <w:rPr>
          <w:rFonts w:eastAsia="Arial" w:ascii="Arial" w:hAnsi="Arial"/>
        </w:rPr>
        <w:t xml:space="preserve">ochranná opatření </w:t>
      </w:r>
      <w:r>
        <w:rPr>
          <w:rFonts w:eastAsia="Arial" w:ascii="Arial" w:hAnsi="Arial"/>
          <w:color w:val="000000"/>
        </w:rPr>
        <w:t>ve vztahu k návratnosti za dobu 25,00 let jsou následující:</w:t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928"/>
        <w:gridCol w:w="6569"/>
      </w:tblGrid>
      <w:tr>
        <w:trPr/>
        <w:tc>
          <w:tcPr>
            <w:tcW w:w="192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jc w:val="center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b/>
                <w:color w:val="000000"/>
              </w:rPr>
              <w:t>C</w:t>
            </w:r>
            <w:r>
              <w:rPr>
                <w:rFonts w:eastAsia="Arial" w:ascii="Arial" w:hAnsi="Arial"/>
                <w:b/>
                <w:color w:val="000000"/>
                <w:position w:val="-5"/>
              </w:rPr>
              <w:t>PM</w:t>
            </w:r>
          </w:p>
        </w:tc>
        <w:tc>
          <w:tcPr>
            <w:tcW w:w="65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11 000,00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eastAsia="Arial" w:ascii="Arial" w:hAnsi="Arial"/>
                <w:color w:val="000000"/>
              </w:rPr>
              <w:t>Kč</w:t>
            </w:r>
            <w:r>
              <w:rPr>
                <w:rFonts w:eastAsia="Arial" w:ascii="Arial" w:hAnsi="Arial"/>
              </w:rPr>
              <w:t>/rok</w:t>
            </w:r>
          </w:p>
        </w:tc>
      </w:tr>
    </w:tbl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color w:val="000000"/>
        </w:rPr>
      </w:pPr>
      <w:r>
        <w:rPr>
          <w:rFonts w:eastAsia="Arial" w:ascii="Arial" w:hAnsi="Arial"/>
        </w:rPr>
        <w:t>Roční úspora peněz</w:t>
      </w:r>
      <w:r>
        <w:rPr>
          <w:rFonts w:eastAsia="Arial" w:ascii="Arial" w:hAnsi="Arial"/>
          <w:color w:val="000000"/>
        </w:rPr>
        <w:t>:</w:t>
      </w:r>
    </w:p>
    <w:tbl>
      <w:tblPr>
        <w:tblW w:w="8498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1928"/>
        <w:gridCol w:w="6569"/>
      </w:tblGrid>
      <w:tr>
        <w:trPr/>
        <w:tc>
          <w:tcPr>
            <w:tcW w:w="192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jc w:val="center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b/>
                <w:color w:val="000000"/>
              </w:rPr>
              <w:t>S</w:t>
            </w:r>
            <w:r>
              <w:rPr>
                <w:rFonts w:eastAsia="Arial" w:ascii="Arial" w:hAnsi="Arial"/>
                <w:b/>
                <w:color w:val="000000"/>
                <w:position w:val="-5"/>
              </w:rPr>
              <w:t>M</w:t>
            </w:r>
          </w:p>
        </w:tc>
        <w:tc>
          <w:tcPr>
            <w:tcW w:w="6569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</w:rPr>
            </w:pPr>
            <w:r>
              <w:rPr>
                <w:rFonts w:eastAsia="Arial" w:ascii="Arial" w:hAnsi="Arial"/>
                <w:color w:val="000000"/>
              </w:rPr>
              <w:t>17 857,82</w:t>
            </w:r>
            <w:r>
              <w:rPr>
                <w:rFonts w:eastAsia="Arial" w:ascii="Arial" w:hAnsi="Arial"/>
              </w:rPr>
              <w:t xml:space="preserve"> </w:t>
            </w:r>
            <w:r>
              <w:rPr>
                <w:rFonts w:eastAsia="Arial" w:ascii="Arial" w:hAnsi="Arial"/>
                <w:color w:val="000000"/>
              </w:rPr>
              <w:t>Kč</w:t>
            </w:r>
            <w:r>
              <w:rPr>
                <w:rFonts w:eastAsia="Arial" w:ascii="Arial" w:hAnsi="Arial"/>
              </w:rPr>
              <w:t>/rok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Proto jsou použitelná ochranná opatření považována za efektivní.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jc w:val="center"/>
        <w:rPr>
          <w:sz w:val="20"/>
        </w:rPr>
      </w:pPr>
      <w:r>
        <w:rPr/>
        <w:drawing>
          <wp:inline distT="0" distB="0" distL="0" distR="0">
            <wp:extent cx="4171950" cy="952500"/>
            <wp:effectExtent l="0" t="0" r="0" b="0"/>
            <wp:docPr id="8" name="_tx_id_10_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tx_id_10_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jc w:val="center"/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jc w:val="center"/>
        <w:rPr>
          <w:sz w:val="20"/>
        </w:rPr>
      </w:pPr>
      <w:r>
        <w:rPr>
          <w:sz w:val="20"/>
        </w:rPr>
      </w:r>
    </w:p>
    <w:p>
      <w:pPr>
        <w:pStyle w:val="Nadpis1"/>
        <w:rPr/>
      </w:pPr>
      <w:bookmarkStart w:id="45" w:name="__RefHeading___Toc1985_3827876098"/>
      <w:bookmarkStart w:id="46" w:name="_Toc152836585"/>
      <w:bookmarkEnd w:id="45"/>
      <w:r>
        <w:rPr/>
        <w:t>9. Výběr ochranných opatření</w:t>
      </w:r>
      <w:bookmarkEnd w:id="46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Výběrem následujících ochranných opatření můžete stávající rizika snížit na přijatelnou úroveň.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Je nutno realizovat minimálně veškerá níže uvedená ochranná opatření.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/>
      </w:pPr>
      <w:r>
        <w:rPr/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  <w:t>opatření s ochrannou / požadovaný stav: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tbl>
      <w:tblPr>
        <w:tblW w:w="9300" w:type="dxa"/>
        <w:jc w:val="left"/>
        <w:tblInd w:w="50" w:type="dxa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firstRow="1" w:noVBand="1" w:lastRow="0" w:firstColumn="1" w:lastColumn="0" w:noHBand="0" w:val="04a0"/>
      </w:tblPr>
      <w:tblGrid>
        <w:gridCol w:w="2325"/>
        <w:gridCol w:w="930"/>
        <w:gridCol w:w="4185"/>
        <w:gridCol w:w="1859"/>
      </w:tblGrid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prostor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opatření</w:t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činitel</w:t>
            </w:r>
          </w:p>
        </w:tc>
      </w:tr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pB:</w:t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systém ochrany před bleskem LPS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LPS třída III</w:t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1.000E-01</w:t>
            </w:r>
          </w:p>
        </w:tc>
      </w:tr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pEB:</w:t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pospojování proti blesku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pospojování pro LPL III nebo IV</w:t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5.000E-02</w:t>
            </w:r>
          </w:p>
        </w:tc>
      </w:tr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pa:</w:t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ochrana před úrazem elektrickým proudem (úder blesku do budovy)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účinné řízení potenciálů v půdě,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armování/nosné konstrukce jsou použity jako svody,</w:t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pu:</w:t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ochrana před úrazem elektrickým proudem (úder blesku do inženýrské sítě)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elektrická izolace,</w:t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rp:</w:t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protipožární opatření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hasící přístroje, ruční hasící přístroje, hydranty, protipožární stěny (odolnost vyšší 120 min), chráněné únikové cesty</w:t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5.000E-01</w:t>
            </w:r>
          </w:p>
        </w:tc>
      </w:tr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Vedení 1: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cantSplit w:val="true"/>
        </w:trPr>
        <w:tc>
          <w:tcPr>
            <w:tcW w:w="232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pSPD:</w:t>
            </w:r>
          </w:p>
        </w:tc>
        <w:tc>
          <w:tcPr>
            <w:tcW w:w="4185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koordinovaná ochrana SPD</w:t>
            </w:r>
          </w:p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rPr>
                <w:sz w:val="20"/>
              </w:rPr>
            </w:pPr>
            <w:r>
              <w:rPr>
                <w:sz w:val="20"/>
              </w:rPr>
              <w:t>LPL 3 nebo 4</w:t>
            </w:r>
          </w:p>
        </w:tc>
        <w:tc>
          <w:tcPr>
            <w:tcW w:w="1859" w:type="dxa"/>
            <w:tcBorders/>
            <w:shd w:color="auto"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1134"/>
                <w:tab w:val="left" w:pos="850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5.000E-02</w:t>
            </w:r>
          </w:p>
        </w:tc>
      </w:tr>
    </w:tbl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  <w:r>
        <w:br w:type="page"/>
      </w:r>
    </w:p>
    <w:p>
      <w:pPr>
        <w:pStyle w:val="Nadpis1"/>
        <w:rPr/>
      </w:pPr>
      <w:bookmarkStart w:id="47" w:name="__RefHeading___Toc1987_3827876098"/>
      <w:bookmarkStart w:id="48" w:name="_Toc152836586"/>
      <w:bookmarkEnd w:id="47"/>
      <w:r>
        <w:rPr/>
        <w:t>10. Právní závaznost</w:t>
      </w:r>
      <w:bookmarkEnd w:id="48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Posouzení rizik provedené na základě informací poskytnutých provozovatelem budovy, jejím vlastníkem nebo odbornými zaměstnanci je třeba zjistit na místě. Je nutno poznamenat, že tyto údaje je třeba zkontrolovat, odpovídají-li realitě.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Na místě je potřeba získat informace pro výpočet rizika, které poskytne provozovatel budovy, její vlastník nebo odborní zaměstnanci. Je nutno tyto údaje zkontrolovat, zda odpovídají realitě.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Postup pro stanovení výpočtu rizika softwarem DEHNsupport je odvozen od standardní normy ČSN EN 62305-2:2013-02.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Je třeba poznamenat, že všechny předpoklady, dokumentace, ilustrace, kresby, rozměry, parametry a výsledky nejsou právně závazné pro zpracovatele výpočtu rizik.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ormal1"/>
        <w:rPr>
          <w:sz w:val="20"/>
        </w:rPr>
      </w:pPr>
      <w:r>
        <w:rPr>
          <w:sz w:val="20"/>
        </w:rPr>
      </w:r>
    </w:p>
    <w:tbl>
      <w:tblPr>
        <w:tblW w:w="9060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4545"/>
        <w:gridCol w:w="4514"/>
      </w:tblGrid>
      <w:tr>
        <w:trPr/>
        <w:tc>
          <w:tcPr>
            <w:tcW w:w="4545" w:type="dxa"/>
            <w:tcBorders/>
            <w:shd w:color="auto"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_____________________________________</w:t>
            </w:r>
          </w:p>
        </w:tc>
        <w:tc>
          <w:tcPr>
            <w:tcW w:w="4514" w:type="dxa"/>
            <w:tcBorders/>
            <w:shd w:color="auto"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_____________________________________</w:t>
            </w:r>
          </w:p>
        </w:tc>
      </w:tr>
      <w:tr>
        <w:trPr/>
        <w:tc>
          <w:tcPr>
            <w:tcW w:w="4545" w:type="dxa"/>
            <w:tcBorders/>
            <w:shd w:color="auto"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Místo, Datum</w:t>
            </w:r>
          </w:p>
        </w:tc>
        <w:tc>
          <w:tcPr>
            <w:tcW w:w="4514" w:type="dxa"/>
            <w:tcBorders/>
            <w:shd w:color="auto"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Razítko, Podpis</w:t>
            </w:r>
          </w:p>
        </w:tc>
      </w:tr>
    </w:tbl>
    <w:p>
      <w:pPr>
        <w:pStyle w:val="Normal1"/>
        <w:rPr>
          <w:sz w:val="20"/>
        </w:rPr>
      </w:pPr>
      <w:r>
        <w:rPr>
          <w:sz w:val="20"/>
        </w:rPr>
      </w:r>
    </w:p>
    <w:p>
      <w:pPr>
        <w:pStyle w:val="Nadpis1"/>
        <w:rPr/>
      </w:pPr>
      <w:bookmarkStart w:id="49" w:name="__RefHeading___Toc1989_3827876098"/>
      <w:bookmarkStart w:id="50" w:name="_Toc152836587"/>
      <w:bookmarkEnd w:id="49"/>
      <w:r>
        <w:rPr/>
        <w:t>11. Všeobecné informace</w:t>
      </w:r>
      <w:bookmarkEnd w:id="50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Nadpis2"/>
        <w:rPr>
          <w:rFonts w:eastAsia="Arial"/>
        </w:rPr>
      </w:pPr>
      <w:bookmarkStart w:id="51" w:name="__RefHeading___Toc1991_3827876098"/>
      <w:bookmarkStart w:id="52" w:name="_Toc152836588"/>
      <w:bookmarkEnd w:id="51"/>
      <w:r>
        <w:rPr>
          <w:rFonts w:eastAsia="Arial"/>
          <w:color w:val="000000"/>
        </w:rPr>
        <w:t>11.</w:t>
      </w:r>
      <w:r>
        <w:rPr>
          <w:rFonts w:eastAsia="Arial"/>
        </w:rPr>
        <w:t>1 Součásti vnější ochrany před bleskem</w:t>
      </w:r>
      <w:bookmarkEnd w:id="52"/>
      <w:r>
        <w:rPr/>
        <w:t xml:space="preserve"> 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/>
      </w:pPr>
      <w:r>
        <w:rPr>
          <w:sz w:val="20"/>
        </w:rPr>
        <w:t>Prvky ochrany před bleskem, které se používají pro výstavbu vnějšího systému ochrany před bleskem, musí splňovat určité mechanické a elektrické požadavky, které jsou uvedeny v řadě norem EN 62561-x. Tato standardní řada je rozdělena například do následujících částí: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  <w:b/>
          <w:b/>
          <w:color w:val="000000"/>
        </w:rPr>
      </w:pPr>
      <w:r>
        <w:rPr>
          <w:rFonts w:eastAsia="Arial" w:ascii="Arial" w:hAnsi="Arial"/>
          <w:b/>
          <w:color w:val="000000"/>
        </w:rPr>
      </w:r>
    </w:p>
    <w:tbl>
      <w:tblPr>
        <w:tblW w:w="8484" w:type="dxa"/>
        <w:jc w:val="left"/>
        <w:tblInd w:w="36" w:type="dxa"/>
        <w:tblLayout w:type="fixed"/>
        <w:tblCellMar>
          <w:top w:w="0" w:type="dxa"/>
          <w:left w:w="36" w:type="dxa"/>
          <w:bottom w:w="0" w:type="dxa"/>
          <w:right w:w="36" w:type="dxa"/>
        </w:tblCellMar>
        <w:tblLook w:firstRow="1" w:noVBand="1" w:lastRow="0" w:firstColumn="1" w:lastColumn="0" w:noHBand="0" w:val="04a0"/>
      </w:tblPr>
      <w:tblGrid>
        <w:gridCol w:w="2918"/>
        <w:gridCol w:w="5565"/>
      </w:tblGrid>
      <w:tr>
        <w:trPr/>
        <w:tc>
          <w:tcPr>
            <w:tcW w:w="291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- EN 62561-1:2012</w:t>
            </w:r>
          </w:p>
        </w:tc>
        <w:tc>
          <w:tcPr>
            <w:tcW w:w="556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Požadavky na spojovací součásti</w:t>
            </w:r>
          </w:p>
        </w:tc>
      </w:tr>
      <w:tr>
        <w:trPr/>
        <w:tc>
          <w:tcPr>
            <w:tcW w:w="291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- EN 62561-2:2012</w:t>
            </w:r>
          </w:p>
        </w:tc>
        <w:tc>
          <w:tcPr>
            <w:tcW w:w="556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Požadavky na vodiče a zemniče</w:t>
            </w:r>
          </w:p>
        </w:tc>
      </w:tr>
      <w:tr>
        <w:trPr/>
        <w:tc>
          <w:tcPr>
            <w:tcW w:w="291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- EN 62561-3:2012</w:t>
            </w:r>
          </w:p>
        </w:tc>
        <w:tc>
          <w:tcPr>
            <w:tcW w:w="556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Požadavky na oddělovací jiskřiště</w:t>
            </w:r>
          </w:p>
        </w:tc>
      </w:tr>
      <w:tr>
        <w:trPr/>
        <w:tc>
          <w:tcPr>
            <w:tcW w:w="291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- EN 62561-4:2011</w:t>
            </w:r>
          </w:p>
        </w:tc>
        <w:tc>
          <w:tcPr>
            <w:tcW w:w="556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Požadavky na podpěry vodičů</w:t>
            </w:r>
          </w:p>
        </w:tc>
      </w:tr>
      <w:tr>
        <w:trPr/>
        <w:tc>
          <w:tcPr>
            <w:tcW w:w="291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- EN 62561-5:2011</w:t>
            </w:r>
          </w:p>
        </w:tc>
        <w:tc>
          <w:tcPr>
            <w:tcW w:w="556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  <w:tab w:val="left" w:pos="2268" w:leader="none"/>
                <w:tab w:val="left" w:pos="3402" w:leader="none"/>
                <w:tab w:val="left" w:pos="4536" w:leader="none"/>
                <w:tab w:val="left" w:pos="5670" w:leader="none"/>
                <w:tab w:val="left" w:pos="6804" w:leader="none"/>
                <w:tab w:val="left" w:pos="7938" w:leader="none"/>
                <w:tab w:val="left" w:pos="9072" w:leader="none"/>
                <w:tab w:val="left" w:pos="10206" w:leader="none"/>
                <w:tab w:val="left" w:pos="11340" w:leader="none"/>
                <w:tab w:val="left" w:pos="12474" w:leader="none"/>
                <w:tab w:val="left" w:pos="13608" w:leader="none"/>
                <w:tab w:val="left" w:pos="14742" w:leader="none"/>
                <w:tab w:val="left" w:pos="15876" w:leader="none"/>
              </w:tabs>
              <w:spacing w:before="0" w:after="200"/>
              <w:rPr>
                <w:rFonts w:ascii="Arial" w:hAnsi="Arial" w:eastAsia="Arial"/>
                <w:b/>
                <w:b/>
                <w:color w:val="000000"/>
              </w:rPr>
            </w:pPr>
            <w:r>
              <w:rPr>
                <w:rFonts w:eastAsia="Arial" w:ascii="Arial" w:hAnsi="Arial"/>
              </w:rPr>
              <w:t>Požadavky na revizní skříně a provedení zemničů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adpis3"/>
        <w:rPr>
          <w:rFonts w:eastAsia="Arial"/>
        </w:rPr>
      </w:pPr>
      <w:bookmarkStart w:id="53" w:name="__RefHeading___Toc1993_3827876098"/>
      <w:bookmarkStart w:id="54" w:name="_Toc152836589"/>
      <w:bookmarkEnd w:id="53"/>
      <w:r>
        <w:rPr>
          <w:rFonts w:eastAsia="Arial"/>
          <w:color w:val="000000"/>
        </w:rPr>
        <w:t>11.</w:t>
      </w:r>
      <w:r>
        <w:rPr>
          <w:rFonts w:eastAsia="Arial"/>
        </w:rPr>
        <w:t>1.1 EN 62561-1:2012 Požadavky na spojovací součásti</w:t>
      </w:r>
      <w:bookmarkEnd w:id="54"/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Požadavky na spojovací součásti (svorky) jsou definovány v normě EN 62561-1. To znamená, že pro instalaci systémů ochrany před bleskem platí, že spojovací komponenty musí být vybrány pro očekávané zatížení (H nebo N). Tak by na jímač připadla (100% bleskového proudu) svorka pro zatížení H (100 kA) a na již rozdělený bleskový proud, například ve smyčce nebo v přívodu k zemnící svorce pouze N (50 kA). Schopnost zvládat zatížení prokazuje zkouška výrobce.</w:t>
      </w:r>
    </w:p>
    <w:p>
      <w:pPr>
        <w:pStyle w:val="Nadpis3"/>
        <w:rPr>
          <w:rFonts w:eastAsia="Arial"/>
        </w:rPr>
      </w:pPr>
      <w:bookmarkStart w:id="55" w:name="__RefHeading___Toc1995_3827876098"/>
      <w:bookmarkStart w:id="56" w:name="_Toc152836590"/>
      <w:bookmarkEnd w:id="55"/>
      <w:r>
        <w:rPr>
          <w:rFonts w:eastAsia="Arial"/>
          <w:color w:val="000000"/>
        </w:rPr>
        <w:t>11.</w:t>
      </w:r>
      <w:r>
        <w:rPr>
          <w:rFonts w:eastAsia="Arial"/>
        </w:rPr>
        <w:t>1.2 EN 62561-2:2012 Požadavky na vodiče a zemniče</w:t>
      </w:r>
      <w:bookmarkEnd w:id="56"/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/>
      </w:pPr>
      <w:r>
        <w:rPr>
          <w:sz w:val="20"/>
        </w:rPr>
        <w:t xml:space="preserve">Zvláštní požadavky na vodiče, například svody a zemnění, jsou uvedeny v normě EN 62561-2. Ty jsou definovány následujícím způsobem: 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/>
      </w:pPr>
      <w:r>
        <w:rPr>
          <w:color w:val="000000"/>
        </w:rPr>
        <w:tab/>
        <w:t xml:space="preserve">- </w:t>
      </w:r>
      <w:r>
        <w:rPr>
          <w:sz w:val="20"/>
        </w:rPr>
        <w:t xml:space="preserve">mechanické vlastnosti (pevnost v tahu a minimální tažnost), 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color w:val="000000"/>
        </w:rPr>
        <w:tab/>
        <w:t xml:space="preserve">- </w:t>
      </w:r>
      <w:r>
        <w:rPr>
          <w:sz w:val="20"/>
        </w:rPr>
        <w:t xml:space="preserve">elektrické vlastnosti (maximální odpor) a 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/>
      </w:pPr>
      <w:r>
        <w:rPr>
          <w:color w:val="000000"/>
        </w:rPr>
        <w:tab/>
        <w:t xml:space="preserve">- </w:t>
      </w:r>
      <w:r>
        <w:rPr>
          <w:sz w:val="20"/>
        </w:rPr>
        <w:t>antikorozní ochranné vlastnosti (umělé stárnutí)</w:t>
      </w:r>
      <w:r>
        <w:rPr/>
        <w:t xml:space="preserve">. 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Norma EN 62561-2 také specifikuje požadavky na uzemnění a zemnicí tyče. Důležité jsou zde především materiál, geometrie, minimální rozměry a mechanické a elektrické vlastnosti. Tyto požadavky normy jsou důležité vlastnosti výrobků, které musí být uvedeny v dokumentaci a katalogových listů výrobce. </w:t>
      </w:r>
    </w:p>
    <w:p>
      <w:pPr>
        <w:pStyle w:val="Nadpis3"/>
        <w:rPr>
          <w:rFonts w:eastAsia="Arial"/>
        </w:rPr>
      </w:pPr>
      <w:bookmarkStart w:id="57" w:name="__RefHeading___Toc1997_3827876098"/>
      <w:bookmarkStart w:id="58" w:name="_Toc152836591"/>
      <w:bookmarkEnd w:id="57"/>
      <w:r>
        <w:rPr>
          <w:rFonts w:eastAsia="Arial"/>
          <w:color w:val="000000"/>
        </w:rPr>
        <w:t>11.</w:t>
      </w:r>
      <w:r>
        <w:rPr>
          <w:rFonts w:eastAsia="Arial"/>
        </w:rPr>
        <w:t>1.3 EN 62561-3:2012 Požadavky na oddělovací jiskřiště</w:t>
      </w:r>
      <w:bookmarkEnd w:id="58"/>
    </w:p>
    <w:p>
      <w:pPr>
        <w:pStyle w:val="Normal"/>
        <w:widowControl w:val="false"/>
        <w:tabs>
          <w:tab w:val="clear" w:pos="708"/>
          <w:tab w:val="left" w:pos="3266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  <w:t>Jiskřiště lze použít pro elektrickou izolaci uzemňovací soustavy.</w:t>
        <w:br/>
        <w:t xml:space="preserve">Pro oddělovací jiskřiště platí požadavky normy EN 62561-3, aby komponenty, pokud jsou instalovány podle pokynů výrobce, byly spolehlivé, stabilní a bezpečné pro lidi a okolní zařízení. </w:t>
      </w:r>
    </w:p>
    <w:p>
      <w:pPr>
        <w:pStyle w:val="Nadpis3"/>
        <w:rPr>
          <w:rFonts w:eastAsia="Arial"/>
        </w:rPr>
      </w:pPr>
      <w:bookmarkStart w:id="59" w:name="__RefHeading___Toc1999_3827876098"/>
      <w:bookmarkStart w:id="60" w:name="_Toc152836592"/>
      <w:bookmarkEnd w:id="59"/>
      <w:r>
        <w:rPr>
          <w:rFonts w:eastAsia="Arial"/>
          <w:color w:val="000000"/>
        </w:rPr>
        <w:t>11.</w:t>
      </w:r>
      <w:r>
        <w:rPr>
          <w:rFonts w:eastAsia="Arial"/>
        </w:rPr>
        <w:t>1.4 EN 62561-4:2011 Požadavky na podpěry vodičů</w:t>
      </w:r>
      <w:bookmarkEnd w:id="60"/>
    </w:p>
    <w:p>
      <w:pPr>
        <w:pStyle w:val="Normal"/>
        <w:widowControl w:val="false"/>
        <w:tabs>
          <w:tab w:val="clear" w:pos="708"/>
          <w:tab w:val="left" w:pos="3266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rPr/>
      </w:pPr>
      <w:r>
        <w:rPr>
          <w:rFonts w:eastAsia="Arial" w:ascii="Arial" w:hAnsi="Arial"/>
        </w:rPr>
        <w:t xml:space="preserve">Norma EN 62561-4 specifikuje požadavky a zkoušky pro kovové i nekovové podpěry vodičů používaných na svody. </w:t>
      </w:r>
    </w:p>
    <w:p>
      <w:pPr>
        <w:pStyle w:val="Normal"/>
        <w:widowControl w:val="false"/>
        <w:tabs>
          <w:tab w:val="clear" w:pos="708"/>
          <w:tab w:val="left" w:pos="3266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widowControl w:val="false"/>
        <w:tabs>
          <w:tab w:val="clear" w:pos="708"/>
          <w:tab w:val="left" w:pos="3266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widowControl w:val="false"/>
        <w:tabs>
          <w:tab w:val="clear" w:pos="708"/>
          <w:tab w:val="left" w:pos="3266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  <w:tab w:val="left" w:pos="10620" w:leader="none"/>
          <w:tab w:val="left" w:pos="11328" w:leader="none"/>
          <w:tab w:val="left" w:pos="12036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adpis3"/>
        <w:rPr>
          <w:rFonts w:eastAsia="Arial"/>
        </w:rPr>
      </w:pPr>
      <w:bookmarkStart w:id="61" w:name="__RefHeading___Toc2001_3827876098"/>
      <w:bookmarkStart w:id="62" w:name="_Toc152836593"/>
      <w:bookmarkEnd w:id="61"/>
      <w:r>
        <w:rPr>
          <w:rFonts w:eastAsia="Arial"/>
          <w:color w:val="000000"/>
        </w:rPr>
        <w:t>11.</w:t>
      </w:r>
      <w:r>
        <w:rPr>
          <w:rFonts w:eastAsia="Arial"/>
        </w:rPr>
        <w:t>1.5 EN 62561-5:2011 Požadavky na revizní skříně a provedení zemničů</w:t>
      </w:r>
      <w:bookmarkEnd w:id="62"/>
      <w:r>
        <w:rPr>
          <w:rFonts w:eastAsia="Arial"/>
        </w:rPr>
        <w:t xml:space="preserve"> 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Všechny revizní skříně musí být navrženy a konstruovány tak, že jsou spolehlivé při určeném použití a bez rizika pro osoby nebo životní prostředí. EN 62561-5 specifikuje požadavky a zkoušky pro revizní skříně a prostupy izolací základu (například zkouška těsnosti).</w:t>
      </w:r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sz w:val="20"/>
        </w:rPr>
      </w:pPr>
      <w:r>
        <w:rPr>
          <w:sz w:val="20"/>
        </w:rPr>
      </w:r>
    </w:p>
    <w:p>
      <w:pPr>
        <w:pStyle w:val="Nadpis1"/>
        <w:rPr/>
      </w:pPr>
      <w:bookmarkStart w:id="63" w:name="__RefHeading___Toc2003_3827876098"/>
      <w:bookmarkStart w:id="64" w:name="_Toc152836594"/>
      <w:bookmarkEnd w:id="63"/>
      <w:r>
        <w:rPr/>
        <w:t>12. Objasnění pojmů</w:t>
      </w:r>
      <w:bookmarkEnd w:id="64"/>
    </w:p>
    <w:p>
      <w:pPr>
        <w:pStyle w:val="Normal1"/>
        <w:tabs>
          <w:tab w:val="clear" w:pos="1134"/>
          <w:tab w:val="left" w:pos="850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rPr>
          <w:b/>
          <w:b/>
          <w:sz w:val="20"/>
        </w:rPr>
      </w:pPr>
      <w:r>
        <w:rPr>
          <w:b/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Koordinovaná ochrana SPD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Vybraná SPD vytvoří koordinovaný systém, který snižuje selhání elektrických a elektronických systémů.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Izolační rozhraní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Zařízení, která mohou snížit rázové vlny ve vedeních, které vstupují do LPZ. Tato zařízení zahrnují oddělovací transformátory s uzemněným stíněním mezi vinutími, nekovové kabely z optických vláken a optočleny. Izolační odpor těchto zařízení musí být v souladu s vyhláškou nebo normou.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LEMP elektromagnetický impulz vyvolaný bleskem  [en: lightning electromagnetic impulse]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Všechny elektromagnetické účinky proudu blesku, který prostřednictvím galvanické, indukční nebo kapacitní vazby vytvoří spoje pro průchod rázové vlny a elektromagnetického pulzního pole.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LP ochrana před bleskem [en: lightning protection]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Kompletní systém pro ochranu staveb, včetně jejich vnitřních systémů a obsahu a osob před účinky blesku. Skládá se z vnějšího systému ochrany před bleskem (LPS) a opatření na ochranu proti LEMP.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LPL hladina ochrany před bleskem [en: lightning protection level]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Číselná hodnota, která je založena na parametrech bleskových proudů a pravděpodobnosti jejich výskytu, které nepřekročí odpovídající maximální a minimální mezní hodnoty uvažovaných blesků.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LPS systém ochrany před bleskem [en: lightning proctection system]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Kompletní systém, který se používá ke snížení rizika poškození budovy nebo konstrukce přímými údery blesku.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EB ochrana před bleskem pospojováním proti blesku [en: lightning equipotential bonding]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Pospojení oddělených kovových částí a LPS přímým připojením nebo připojením přes zařízení pro ochranu proti přepětí na snížení škod způsobených bleskovými proudy případným rozdílem potenciálů.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SPD přepěťové ochranné zařízení [en: surge protective device]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Zařízení, které je určeno k omezení přechodného přepětí a svedení impulzních proudů. Obsahuje alespoň jeden nelineární prvek.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Uzel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 xml:space="preserve">Uzel na přívodním vedení lze zanedbat při šíření rázové vlny: Příklady uzlu jsou distribuční bod na vedení ve VN/NN transformátoru nebo v rozvodně, spínač nebo telekomunikačním zařízení (např. multiplexery nebo xDSL zařízení), v telekomunikačním vedení.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Fyzické poškození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Poškození budovy nebo stavby (nebo jejího obsahu) v důsledku mechanického, tepelného, chemického a výbušného důsledku úderu blesku.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Úraz živých bytostí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Trvalé zranění nebo smrt lidí či zvířat prostřednictvím elektrického proudu v důsledku nebezpečného dotykového nebo krokového napětí způsobeného bleskem.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R riziko škod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Pravděpodobná, průměrná roční ztráta (osob a zboží) v důsledku úderu blesku, na základě</w:t>
        <w:br/>
        <w:t>celkové hodnoty (zboží a osob), chráněné budovy.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ZS zóna budovy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Část budovy se shodnými vlastnostmi parametrů pro posouzení rizikové složky.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Zóna ochrany před bleskem LPZ [en: lightning protection zone]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Oblast, ve které je elektromagnetické prostředí definováno z hlediska nebezpečí od blesku. Hranice zón LPZ nejsou nutně fyzické hranice (např. stěny, podlaha nebo strop).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Magnetické stínění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Uzavřené kovové mřížky, nebo opláštění, které obklopuje stavební prvky, které mají být chráněny, nebo jejich část, za účelem snížení ztrát z elektrických a elektronických zařízení.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b/>
          <w:sz w:val="20"/>
        </w:rPr>
        <w:t>Kabel pro ochranu před bleskem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Speciální kabel s vysokou dielektrickou pevností, stínění je kovové připojeno přímo nebo prostřednictvím povlaku vodivého plastu, který je připojen k potenciálu země.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rPr>
          <w:rFonts w:ascii="Arial" w:hAnsi="Arial" w:eastAsia="Arial"/>
        </w:rPr>
      </w:pPr>
      <w:r>
        <w:rPr>
          <w:rFonts w:eastAsia="Arial" w:ascii="Arial" w:hAnsi="Arial"/>
          <w:b/>
        </w:rPr>
        <w:t>Ochrana před bleskem – kabelový kanál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rPr>
          <w:sz w:val="20"/>
        </w:rPr>
      </w:pPr>
      <w:r>
        <w:rPr>
          <w:sz w:val="20"/>
        </w:rPr>
        <w:t>Kabelový kanál s nízkým odporem (např. beton s ocelovou výztuží, nebo propojený kovový kanál) v trvalém kontaktu se zemí.</w:t>
      </w:r>
    </w:p>
    <w:p>
      <w:pPr>
        <w:pStyle w:val="Nadpis1"/>
        <w:rPr/>
      </w:pPr>
      <w:bookmarkStart w:id="65" w:name="__RefHeading___Toc2005_3827876098"/>
      <w:bookmarkStart w:id="66" w:name="_Toc152836595"/>
      <w:bookmarkEnd w:id="65"/>
      <w:r>
        <w:rPr/>
        <w:t>13. Navržené technické řešení</w:t>
      </w:r>
      <w:bookmarkEnd w:id="66"/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jc w:val="both"/>
        <w:rPr>
          <w:sz w:val="20"/>
        </w:rPr>
      </w:pPr>
      <w:r>
        <w:rPr>
          <w:sz w:val="20"/>
        </w:rPr>
      </w:r>
    </w:p>
    <w:p>
      <w:pPr>
        <w:pStyle w:val="Nadpis2"/>
        <w:rPr/>
      </w:pPr>
      <w:bookmarkStart w:id="67" w:name="__RefHeading___Toc2007_3827876098"/>
      <w:bookmarkStart w:id="68" w:name="_Toc152836596"/>
      <w:bookmarkEnd w:id="67"/>
      <w:r>
        <w:rPr/>
        <w:t>13.1 Uzemnění</w:t>
      </w:r>
      <w:bookmarkEnd w:id="68"/>
    </w:p>
    <w:p>
      <w:pPr>
        <w:pStyle w:val="Normal"/>
        <w:jc w:val="both"/>
        <w:rPr/>
      </w:pPr>
      <w:r>
        <w:rPr/>
        <w:t>Systém uzemnění je proveden pomocí FeZn tyčí o délce 1,5m. Tyto tyče jsou zatlučeny v místech svodů a to tak, aby vzdálenost od budovy a vzdálenost mezi tyčemi byla min. 1m. Tyto tyče, resp. jejich svorky jsou pak v hloubce cca 1m pod konečně upraveným terénem. Celkem budou u každého svodu umístěny tři zemnící tyče.</w:t>
      </w:r>
    </w:p>
    <w:p>
      <w:pPr>
        <w:pStyle w:val="Normal"/>
        <w:jc w:val="both"/>
        <w:rPr/>
      </w:pPr>
      <w:r>
        <w:rPr/>
        <w:t>Tyto zemnící tyče jsou pak spojeny pomocí pásku FeZn 30x4 , přičemž před budovou je tento páskový zemnič napojen na kulatinu FeZn 10. Tato kulatina je pak umístěna do ochranné trubky a připevněna pomocí dvou držáků na fasádu domu. Ukončení této kulatiny pak bude provedeno ve výšce 1,6 – 1,8m nad konečně upraveným terénem – v tomto místě pak bude umístěna zkušební svorka a její označení. Veškeré spoje je pak potřeba ošetřit vhodnou antikorozní ochranou. Výstup kulatiny z půdy je pak vhodné opatřit smršťovací bandáží s lepidlem.</w:t>
      </w:r>
    </w:p>
    <w:p>
      <w:pPr>
        <w:pStyle w:val="Nadpis2"/>
        <w:jc w:val="both"/>
        <w:rPr/>
      </w:pPr>
      <w:bookmarkStart w:id="69" w:name="__RefHeading___Toc2009_3827876098"/>
      <w:bookmarkStart w:id="70" w:name="_Toc152836597"/>
      <w:bookmarkEnd w:id="69"/>
      <w:r>
        <w:rPr/>
        <w:t>13.2 Jímací tyče</w:t>
      </w:r>
      <w:bookmarkEnd w:id="70"/>
      <w:r>
        <w:rPr/>
        <w:t xml:space="preserve"> </w:t>
      </w:r>
      <w:r>
        <w:rPr/>
        <w:t>a svody</w:t>
      </w:r>
    </w:p>
    <w:p>
      <w:pPr>
        <w:pStyle w:val="Normal"/>
        <w:jc w:val="both"/>
        <w:rPr/>
      </w:pPr>
      <w:r>
        <w:rPr/>
        <w:t xml:space="preserve">Na střeše kostela budou umístěny dva jímače. První jímač bude připevněn ke kříži umístěném na špičce vysokého bodu střechy. Druhý jímač bude vytvořen vodičem AlMgSi 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∅</m:t>
        </m:r>
        <m:r>
          <w:rPr>
            <w:rFonts w:ascii="Cambria Math" w:hAnsi="Cambria Math"/>
          </w:rPr>
          <m:t xml:space="preserve">8</m:t>
        </m:r>
      </m:oMath>
      <w:r>
        <w:rPr>
          <w:rFonts w:eastAsia="" w:eastAsiaTheme="minorEastAsia"/>
        </w:rPr>
        <w:t xml:space="preserve">mm o délce 600mm na konci hřebenu střechy nižší části. </w:t>
      </w:r>
      <w:bookmarkStart w:id="71" w:name="_Toc152836598"/>
      <w:bookmarkEnd w:id="71"/>
      <w:r>
        <w:rPr/>
        <w:t>S</w:t>
      </w:r>
      <w:r>
        <w:rPr/>
        <w:t xml:space="preserve">vody od jímacích tyčí pak budou tvořeny vodičem AlMgSi s průměrem 8mm. Tyto vodiče pak budou vedeny jako přiznané na fasádě budovy a po hřebenu střechy přes okap pomocí okapové svorky a následně spojeno s FeZn kulatinou vyvedenou ze země. </w:t>
      </w:r>
    </w:p>
    <w:p>
      <w:pPr>
        <w:pStyle w:val="BODY"/>
        <w:tabs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/>
        <w:jc w:val="both"/>
        <w:rPr>
          <w:sz w:val="20"/>
        </w:rPr>
      </w:pPr>
      <w:r>
        <w:rPr/>
      </w:r>
    </w:p>
    <w:sectPr>
      <w:type w:val="nextPage"/>
      <w:pgSz w:w="11906" w:h="16838"/>
      <w:pgMar w:left="1418" w:right="1418" w:gutter="0" w:header="0" w:top="1418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/>
        <w:b w:val="false"/>
        <w:shd w:fill="auto" w:val="clear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hAnsi="Symbol" w:cs="Symbol" w:hint="default"/>
        <w:dstrike w:val="false"/>
        <w:strike w:val="false"/>
        <w:sz w:val="20"/>
        <w:i w:val="false"/>
        <w:u w:val="none"/>
        <w:b w:val="false"/>
        <w:shd w:fill="auto" w:val="clear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/>
        <w:b w:val="false"/>
        <w:shd w:fill="auto" w:val="clear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721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ac770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28"/>
      <w:szCs w:val="28"/>
    </w:rPr>
  </w:style>
  <w:style w:type="paragraph" w:styleId="Nadpis2">
    <w:name w:val="Heading 2"/>
    <w:basedOn w:val="Normal"/>
    <w:next w:val="Normal"/>
    <w:link w:val="Nadpis2Char"/>
    <w:uiPriority w:val="9"/>
    <w:unhideWhenUsed/>
    <w:qFormat/>
    <w:rsid w:val="00ac7708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000000" w:themeColor="text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"/>
    <w:unhideWhenUsed/>
    <w:qFormat/>
    <w:rsid w:val="00770f2f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</w:rPr>
  </w:style>
  <w:style w:type="paragraph" w:styleId="Nadpis4">
    <w:name w:val="Heading 4"/>
    <w:basedOn w:val="Normal"/>
    <w:next w:val="Normal"/>
    <w:link w:val="Nadpis4Char"/>
    <w:uiPriority w:val="9"/>
    <w:unhideWhenUsed/>
    <w:qFormat/>
    <w:rsid w:val="00215b64"/>
    <w:pPr>
      <w:keepNext w:val="true"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1b64f0"/>
    <w:rPr>
      <w:color w:val="808080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1b64f0"/>
    <w:rPr>
      <w:rFonts w:ascii="Tahoma" w:hAnsi="Tahoma" w:cs="Tahoma"/>
      <w:sz w:val="16"/>
      <w:szCs w:val="16"/>
    </w:rPr>
  </w:style>
  <w:style w:type="character" w:styleId="Nadpis2Char" w:customStyle="1">
    <w:name w:val="Nadpis 2 Char"/>
    <w:basedOn w:val="DefaultParagraphFont"/>
    <w:uiPriority w:val="9"/>
    <w:qFormat/>
    <w:rsid w:val="00ac7708"/>
    <w:rPr>
      <w:rFonts w:ascii="Cambria" w:hAnsi="Cambria" w:eastAsia="" w:cs="" w:asciiTheme="majorHAnsi" w:cstheme="majorBidi" w:eastAsiaTheme="majorEastAsia" w:hAnsiTheme="majorHAnsi"/>
      <w:b/>
      <w:bCs/>
      <w:color w:val="000000" w:themeColor="text1"/>
      <w:sz w:val="26"/>
      <w:szCs w:val="2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27ebf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627ebf"/>
    <w:rPr>
      <w:sz w:val="20"/>
      <w:szCs w:val="20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627ebf"/>
    <w:rPr>
      <w:b/>
      <w:bCs/>
      <w:sz w:val="20"/>
      <w:szCs w:val="20"/>
    </w:rPr>
  </w:style>
  <w:style w:type="character" w:styleId="Nadpis3Char" w:customStyle="1">
    <w:name w:val="Nadpis 3 Char"/>
    <w:basedOn w:val="DefaultParagraphFont"/>
    <w:uiPriority w:val="9"/>
    <w:qFormat/>
    <w:rsid w:val="00770f2f"/>
    <w:rPr>
      <w:rFonts w:ascii="Cambria" w:hAnsi="Cambria" w:eastAsia="" w:cs="" w:asciiTheme="majorHAnsi" w:cstheme="majorBidi" w:eastAsiaTheme="majorEastAsia" w:hAnsiTheme="majorHAnsi"/>
      <w:b/>
      <w:bCs/>
    </w:rPr>
  </w:style>
  <w:style w:type="character" w:styleId="Nadpis1Char" w:customStyle="1">
    <w:name w:val="Nadpis 1 Char"/>
    <w:basedOn w:val="DefaultParagraphFont"/>
    <w:uiPriority w:val="9"/>
    <w:qFormat/>
    <w:rsid w:val="00ac7708"/>
    <w:rPr>
      <w:rFonts w:ascii="Cambria" w:hAnsi="Cambria" w:eastAsia="" w:cs="" w:asciiTheme="majorHAnsi" w:cstheme="majorBidi" w:eastAsiaTheme="majorEastAsia" w:hAnsiTheme="majorHAnsi"/>
      <w:b/>
      <w:bCs/>
      <w:sz w:val="28"/>
      <w:szCs w:val="28"/>
    </w:rPr>
  </w:style>
  <w:style w:type="character" w:styleId="Internetovodkaz">
    <w:name w:val="Internetový odkaz"/>
    <w:basedOn w:val="DefaultParagraphFont"/>
    <w:uiPriority w:val="99"/>
    <w:unhideWhenUsed/>
    <w:rsid w:val="00250ffb"/>
    <w:rPr>
      <w:color w:val="0000FF" w:themeColor="hyperlink"/>
      <w:u w:val="single"/>
    </w:rPr>
  </w:style>
  <w:style w:type="character" w:styleId="Nadpis4Char" w:customStyle="1">
    <w:name w:val="Nadpis 4 Char"/>
    <w:basedOn w:val="DefaultParagraphFont"/>
    <w:uiPriority w:val="9"/>
    <w:qFormat/>
    <w:rsid w:val="00215b64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Odkaznarejstk">
    <w:name w:val="Odkaz na rejstřík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1b64f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627eb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627ebf"/>
    <w:pPr/>
    <w:rPr>
      <w:b/>
      <w:bCs/>
    </w:rPr>
  </w:style>
  <w:style w:type="paragraph" w:styleId="Nadpisrejstku">
    <w:name w:val="Index Heading"/>
    <w:basedOn w:val="Nadpis"/>
    <w:pPr/>
    <w:rPr/>
  </w:style>
  <w:style w:type="paragraph" w:styleId="Nadpisobsahu">
    <w:name w:val="TOC Heading"/>
    <w:basedOn w:val="Nadpis1"/>
    <w:next w:val="Normal"/>
    <w:uiPriority w:val="39"/>
    <w:semiHidden/>
    <w:unhideWhenUsed/>
    <w:qFormat/>
    <w:rsid w:val="00250ffb"/>
    <w:pPr>
      <w:outlineLvl w:val="9"/>
    </w:pPr>
    <w:rPr/>
  </w:style>
  <w:style w:type="paragraph" w:styleId="Obsah1">
    <w:name w:val="TOC 1"/>
    <w:basedOn w:val="Normal"/>
    <w:next w:val="Normal"/>
    <w:autoRedefine/>
    <w:uiPriority w:val="39"/>
    <w:unhideWhenUsed/>
    <w:rsid w:val="00250ffb"/>
    <w:pPr>
      <w:spacing w:before="0" w:after="100"/>
    </w:pPr>
    <w:rPr/>
  </w:style>
  <w:style w:type="paragraph" w:styleId="Obsah3">
    <w:name w:val="TOC 3"/>
    <w:basedOn w:val="Normal"/>
    <w:next w:val="Normal"/>
    <w:autoRedefine/>
    <w:uiPriority w:val="39"/>
    <w:unhideWhenUsed/>
    <w:rsid w:val="00250ffb"/>
    <w:pPr>
      <w:spacing w:before="0" w:after="100"/>
      <w:ind w:left="440" w:hanging="0"/>
    </w:pPr>
    <w:rPr/>
  </w:style>
  <w:style w:type="paragraph" w:styleId="Obsah2">
    <w:name w:val="TOC 2"/>
    <w:basedOn w:val="Normal"/>
    <w:next w:val="Normal"/>
    <w:autoRedefine/>
    <w:uiPriority w:val="39"/>
    <w:unhideWhenUsed/>
    <w:rsid w:val="00250ffb"/>
    <w:pPr>
      <w:spacing w:before="0" w:after="100"/>
      <w:ind w:left="220" w:hanging="0"/>
    </w:pPr>
    <w:rPr/>
  </w:style>
  <w:style w:type="paragraph" w:styleId="ListParagraph">
    <w:name w:val="List Paragraph"/>
    <w:basedOn w:val="Normal"/>
    <w:uiPriority w:val="34"/>
    <w:qFormat/>
    <w:rsid w:val="00f149cc"/>
    <w:pPr>
      <w:spacing w:before="0" w:after="200"/>
      <w:ind w:left="720" w:hanging="0"/>
      <w:contextualSpacing/>
    </w:pPr>
    <w:rPr/>
  </w:style>
  <w:style w:type="paragraph" w:styleId="Normal1" w:customStyle="1">
    <w:name w:val="[Normal]"/>
    <w:qFormat/>
    <w:rsid w:val="00a93972"/>
    <w:pPr>
      <w:widowControl/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  <w:bidi w:val="0"/>
      <w:spacing w:lineRule="auto" w:line="240" w:before="0" w:after="0"/>
      <w:jc w:val="left"/>
    </w:pPr>
    <w:rPr>
      <w:rFonts w:ascii="Arial" w:hAnsi="Arial" w:eastAsia="Arial" w:cs="Times New Roman"/>
      <w:color w:val="auto"/>
      <w:kern w:val="0"/>
      <w:sz w:val="24"/>
      <w:szCs w:val="20"/>
      <w:lang w:eastAsia="cs-CZ" w:val="cs-CZ" w:bidi="ar-SA"/>
    </w:rPr>
  </w:style>
  <w:style w:type="paragraph" w:styleId="BODY" w:customStyle="1">
    <w:name w:val="BODY"/>
    <w:basedOn w:val="Normal1"/>
    <w:qFormat/>
    <w:rsid w:val="00a93972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lineRule="atLeast" w:line="0"/>
    </w:pPr>
    <w:rPr/>
  </w:style>
  <w:style w:type="paragraph" w:styleId="Msonormal" w:customStyle="1">
    <w:name w:val="msonormal"/>
    <w:basedOn w:val="Normal"/>
    <w:qFormat/>
    <w:rsid w:val="006a70e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1b64f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DB26D-B761-4F15-B200-7C7C9A03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Application>LibreOffice/7.3.7.2$Windows_X86_64 LibreOffice_project/e114eadc50a9ff8d8c8a0567d6da8f454beeb84f</Application>
  <AppVersion>15.0000</AppVersion>
  <Pages>15</Pages>
  <Words>3176</Words>
  <Characters>18418</Characters>
  <CharactersWithSpaces>21250</CharactersWithSpaces>
  <Paragraphs>419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2022-05-26T09:53:00Z</dcterms:created>
  <dc:creator>Lukáš Bělíček</dc:creator>
  <dc:description/>
  <dc:language>cs-CZ</dc:language>
  <cp:lastModifiedBy/>
  <dcterms:modified xsi:type="dcterms:W3CDTF">2023-12-13T08:07:02Z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