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BCCC4" w14:textId="77777777" w:rsidR="004513C4" w:rsidRDefault="004513C4" w:rsidP="003B2B88">
      <w:pPr>
        <w:widowControl w:val="0"/>
        <w:jc w:val="center"/>
        <w:rPr>
          <w:rFonts w:ascii="Arial" w:hAnsi="Arial" w:cs="Arial"/>
          <w:b/>
          <w:sz w:val="28"/>
        </w:rPr>
      </w:pPr>
    </w:p>
    <w:p w14:paraId="7C9B283B" w14:textId="77777777" w:rsidR="004513C4" w:rsidRDefault="004513C4" w:rsidP="003B2B88">
      <w:pPr>
        <w:widowControl w:val="0"/>
        <w:jc w:val="center"/>
        <w:rPr>
          <w:rFonts w:ascii="Arial" w:hAnsi="Arial" w:cs="Arial"/>
          <w:b/>
          <w:sz w:val="28"/>
        </w:rPr>
      </w:pPr>
    </w:p>
    <w:p w14:paraId="06F094CE" w14:textId="77777777" w:rsidR="005860CE" w:rsidRDefault="005860CE" w:rsidP="003B2B88">
      <w:pPr>
        <w:widowControl w:val="0"/>
        <w:jc w:val="center"/>
        <w:rPr>
          <w:rFonts w:ascii="Arial" w:hAnsi="Arial" w:cs="Arial"/>
          <w:b/>
          <w:sz w:val="28"/>
        </w:rPr>
      </w:pPr>
    </w:p>
    <w:p w14:paraId="568954AA" w14:textId="77777777" w:rsidR="005860CE" w:rsidRDefault="005860CE" w:rsidP="003B2B88">
      <w:pPr>
        <w:widowControl w:val="0"/>
        <w:jc w:val="center"/>
        <w:rPr>
          <w:rFonts w:ascii="Arial" w:hAnsi="Arial" w:cs="Arial"/>
          <w:b/>
          <w:sz w:val="28"/>
        </w:rPr>
      </w:pPr>
    </w:p>
    <w:p w14:paraId="3E77AD79" w14:textId="5EC84005" w:rsidR="003B2B88" w:rsidRPr="00C16AD4" w:rsidRDefault="003B2B88" w:rsidP="003B2B88">
      <w:pPr>
        <w:widowControl w:val="0"/>
        <w:jc w:val="center"/>
        <w:rPr>
          <w:rFonts w:ascii="Arial" w:hAnsi="Arial" w:cs="Arial"/>
          <w:b/>
          <w:sz w:val="28"/>
        </w:rPr>
      </w:pPr>
      <w:r w:rsidRPr="00C16AD4">
        <w:rPr>
          <w:rFonts w:ascii="Arial" w:hAnsi="Arial" w:cs="Arial"/>
          <w:b/>
          <w:sz w:val="28"/>
        </w:rPr>
        <w:t xml:space="preserve">Veřejná zakázka na </w:t>
      </w:r>
      <w:r w:rsidR="00CC7715">
        <w:rPr>
          <w:rFonts w:ascii="Arial" w:hAnsi="Arial" w:cs="Arial"/>
          <w:b/>
          <w:sz w:val="28"/>
        </w:rPr>
        <w:t>služby</w:t>
      </w:r>
    </w:p>
    <w:p w14:paraId="1046CD9B" w14:textId="77777777" w:rsidR="003B2B88" w:rsidRPr="00C16AD4" w:rsidRDefault="003B2B88" w:rsidP="003B2B88">
      <w:pPr>
        <w:widowControl w:val="0"/>
        <w:jc w:val="center"/>
        <w:rPr>
          <w:rFonts w:ascii="Arial" w:hAnsi="Arial" w:cs="Arial"/>
          <w:b/>
          <w:sz w:val="16"/>
          <w:szCs w:val="16"/>
        </w:rPr>
      </w:pPr>
    </w:p>
    <w:p w14:paraId="074A7433" w14:textId="77777777" w:rsidR="003B2B88" w:rsidRPr="00C16AD4" w:rsidRDefault="003B2B88" w:rsidP="003B2B8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C16AD4">
        <w:rPr>
          <w:rFonts w:ascii="Arial" w:hAnsi="Arial" w:cs="Arial"/>
          <w:b/>
          <w:sz w:val="22"/>
          <w:szCs w:val="22"/>
        </w:rPr>
        <w:t xml:space="preserve">zadávaná podle § 56 </w:t>
      </w:r>
    </w:p>
    <w:p w14:paraId="4E58878B" w14:textId="77777777" w:rsidR="003B2B88" w:rsidRPr="00C16AD4" w:rsidRDefault="003B2B88" w:rsidP="003B2B8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C16AD4">
        <w:rPr>
          <w:rFonts w:ascii="Arial" w:hAnsi="Arial" w:cs="Arial"/>
          <w:b/>
          <w:sz w:val="22"/>
          <w:szCs w:val="22"/>
        </w:rPr>
        <w:t>zákona č. 134/2016 Sb., o zadávání veřejných zakázek (dále jen zákon) pod názvem:</w:t>
      </w:r>
    </w:p>
    <w:p w14:paraId="3554B01F" w14:textId="77777777" w:rsidR="003B2B88" w:rsidRPr="00C16AD4" w:rsidRDefault="003B2B88" w:rsidP="003B2B88">
      <w:pPr>
        <w:widowControl w:val="0"/>
        <w:jc w:val="center"/>
        <w:rPr>
          <w:rFonts w:ascii="Arial" w:hAnsi="Arial" w:cs="Arial"/>
          <w:b/>
          <w:sz w:val="16"/>
          <w:szCs w:val="16"/>
        </w:rPr>
      </w:pPr>
    </w:p>
    <w:p w14:paraId="0CF559D3" w14:textId="4C753368" w:rsidR="003B2B88" w:rsidRPr="006E3680" w:rsidRDefault="003B2B88" w:rsidP="003B2B88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6E3680">
        <w:rPr>
          <w:rFonts w:ascii="Arial" w:hAnsi="Arial" w:cs="Arial"/>
          <w:b/>
          <w:sz w:val="28"/>
          <w:szCs w:val="28"/>
        </w:rPr>
        <w:t xml:space="preserve"> „</w:t>
      </w:r>
      <w:r w:rsidR="00CC7715" w:rsidRPr="00CC7715">
        <w:rPr>
          <w:rFonts w:ascii="Arial" w:hAnsi="Arial" w:cs="Arial"/>
          <w:b/>
          <w:sz w:val="28"/>
          <w:szCs w:val="28"/>
        </w:rPr>
        <w:t>Centrální pojištění majetku, odpovědnosti a vozidel statuárního města Opavy včetně příspěvkových organizací a obchodních organizací</w:t>
      </w:r>
      <w:r w:rsidRPr="006E3680">
        <w:rPr>
          <w:rFonts w:ascii="Arial" w:hAnsi="Arial" w:cs="Arial"/>
          <w:b/>
          <w:sz w:val="28"/>
          <w:szCs w:val="28"/>
        </w:rPr>
        <w:t>“</w:t>
      </w:r>
    </w:p>
    <w:p w14:paraId="3B83AED9" w14:textId="77777777" w:rsidR="003B2B88" w:rsidRPr="00C16AD4" w:rsidRDefault="003B2B88" w:rsidP="003B2B8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45D78157" w14:textId="77777777" w:rsidR="003B2B88" w:rsidRPr="00C16AD4" w:rsidRDefault="003B2B88" w:rsidP="003B2B8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C16AD4">
        <w:rPr>
          <w:rFonts w:ascii="Arial" w:hAnsi="Arial" w:cs="Arial"/>
          <w:b/>
          <w:sz w:val="22"/>
          <w:szCs w:val="22"/>
        </w:rPr>
        <w:t>nadlimitní režim – otevřené řízení (OŘ)</w:t>
      </w:r>
    </w:p>
    <w:p w14:paraId="7789BD85" w14:textId="77777777" w:rsidR="00F46930" w:rsidRPr="00C16AD4" w:rsidRDefault="00F46930" w:rsidP="00F46930">
      <w:pPr>
        <w:jc w:val="center"/>
        <w:rPr>
          <w:rFonts w:ascii="Arial" w:hAnsi="Arial" w:cs="Arial"/>
          <w:b/>
          <w:bCs/>
          <w:i/>
          <w:iCs/>
          <w:caps/>
        </w:rPr>
      </w:pPr>
    </w:p>
    <w:p w14:paraId="7A388C20" w14:textId="77777777" w:rsidR="00F46930" w:rsidRPr="00C16AD4" w:rsidRDefault="00F46930" w:rsidP="00F46930">
      <w:pPr>
        <w:jc w:val="center"/>
        <w:rPr>
          <w:rFonts w:ascii="Arial" w:hAnsi="Arial" w:cs="Arial"/>
          <w:b/>
          <w:bCs/>
          <w:i/>
          <w:iCs/>
          <w:caps/>
        </w:rPr>
      </w:pPr>
    </w:p>
    <w:p w14:paraId="6664AEB8" w14:textId="77777777" w:rsidR="00F46930" w:rsidRPr="00C16AD4" w:rsidRDefault="00F46930" w:rsidP="00F46930">
      <w:pPr>
        <w:jc w:val="center"/>
        <w:rPr>
          <w:rFonts w:ascii="Arial" w:hAnsi="Arial" w:cs="Arial"/>
          <w:b/>
          <w:bCs/>
          <w:i/>
          <w:iCs/>
          <w:caps/>
        </w:rPr>
      </w:pPr>
    </w:p>
    <w:p w14:paraId="3F8FB5DD" w14:textId="77777777" w:rsidR="00F46930" w:rsidRPr="00C16AD4" w:rsidRDefault="00F46930" w:rsidP="00F46930">
      <w:pPr>
        <w:jc w:val="center"/>
        <w:rPr>
          <w:rFonts w:ascii="Arial" w:hAnsi="Arial" w:cs="Arial"/>
          <w:b/>
          <w:bCs/>
          <w:i/>
          <w:iCs/>
          <w:caps/>
        </w:rPr>
      </w:pPr>
    </w:p>
    <w:p w14:paraId="0740C424" w14:textId="77777777" w:rsidR="00F46930" w:rsidRPr="00C16AD4" w:rsidRDefault="00F46930" w:rsidP="00F46930">
      <w:pPr>
        <w:jc w:val="center"/>
        <w:rPr>
          <w:rFonts w:ascii="Arial" w:hAnsi="Arial" w:cs="Arial"/>
          <w:b/>
          <w:bCs/>
          <w:i/>
          <w:iCs/>
          <w:caps/>
        </w:rPr>
      </w:pPr>
    </w:p>
    <w:p w14:paraId="5AB15F49" w14:textId="4E6B4A0D" w:rsidR="00F46930" w:rsidRPr="002171F9" w:rsidRDefault="001C124F" w:rsidP="00F46930">
      <w:pPr>
        <w:jc w:val="center"/>
        <w:rPr>
          <w:rFonts w:ascii="Arial" w:hAnsi="Arial" w:cs="Arial"/>
          <w:b/>
          <w:bCs/>
          <w:iCs/>
          <w:caps/>
          <w:sz w:val="38"/>
          <w:szCs w:val="38"/>
          <w:u w:val="single"/>
        </w:rPr>
      </w:pPr>
      <w:r w:rsidRPr="002171F9">
        <w:rPr>
          <w:rFonts w:ascii="Arial" w:hAnsi="Arial" w:cs="Arial"/>
          <w:b/>
          <w:bCs/>
          <w:iCs/>
          <w:caps/>
          <w:sz w:val="38"/>
          <w:szCs w:val="38"/>
          <w:u w:val="single"/>
        </w:rPr>
        <w:t>vzor čestnÉHO</w:t>
      </w:r>
      <w:r w:rsidR="00F46930" w:rsidRPr="002171F9">
        <w:rPr>
          <w:rFonts w:ascii="Arial" w:hAnsi="Arial" w:cs="Arial"/>
          <w:b/>
          <w:bCs/>
          <w:iCs/>
          <w:caps/>
          <w:sz w:val="38"/>
          <w:szCs w:val="38"/>
          <w:u w:val="single"/>
        </w:rPr>
        <w:t xml:space="preserve"> prohlášení</w:t>
      </w:r>
    </w:p>
    <w:p w14:paraId="61A154ED" w14:textId="77777777" w:rsidR="00F46930" w:rsidRPr="00C16AD4" w:rsidRDefault="00F46930" w:rsidP="00F46930">
      <w:pPr>
        <w:spacing w:before="120"/>
        <w:jc w:val="center"/>
        <w:rPr>
          <w:rFonts w:ascii="Arial" w:hAnsi="Arial" w:cs="Arial"/>
          <w:b/>
          <w:i/>
        </w:rPr>
      </w:pPr>
    </w:p>
    <w:p w14:paraId="0543E709" w14:textId="2E411A4E" w:rsidR="00F46930" w:rsidRPr="002171F9" w:rsidRDefault="00F46930" w:rsidP="00F46930">
      <w:pPr>
        <w:pStyle w:val="Zkladntext3"/>
        <w:spacing w:before="60" w:line="240" w:lineRule="auto"/>
        <w:rPr>
          <w:iCs/>
          <w:sz w:val="18"/>
          <w:szCs w:val="16"/>
        </w:rPr>
      </w:pPr>
      <w:r w:rsidRPr="002171F9">
        <w:rPr>
          <w:iCs/>
          <w:sz w:val="18"/>
          <w:szCs w:val="16"/>
        </w:rPr>
        <w:t>Zadavatel poskytuje dodavatelům vzorové texty prohlášení ke splně</w:t>
      </w:r>
      <w:r w:rsidR="001C124F" w:rsidRPr="002171F9">
        <w:rPr>
          <w:iCs/>
          <w:sz w:val="18"/>
          <w:szCs w:val="16"/>
        </w:rPr>
        <w:t>ní podmínek zadávacího řízení. Tento vzor čestných prohlášení se vztahuje</w:t>
      </w:r>
      <w:r w:rsidRPr="002171F9">
        <w:rPr>
          <w:iCs/>
          <w:sz w:val="18"/>
          <w:szCs w:val="16"/>
        </w:rPr>
        <w:t>:</w:t>
      </w:r>
    </w:p>
    <w:p w14:paraId="1902FD11" w14:textId="77777777" w:rsidR="00F46930" w:rsidRPr="002171F9" w:rsidRDefault="00F46930" w:rsidP="00F46930">
      <w:pPr>
        <w:pStyle w:val="Zkladntext3"/>
        <w:spacing w:before="60" w:line="240" w:lineRule="auto"/>
        <w:rPr>
          <w:iCs/>
          <w:sz w:val="18"/>
          <w:szCs w:val="16"/>
        </w:rPr>
      </w:pPr>
    </w:p>
    <w:p w14:paraId="536A25D4" w14:textId="72EDC08B" w:rsidR="00F46930" w:rsidRPr="002171F9" w:rsidRDefault="00F52D68" w:rsidP="001C124F">
      <w:pPr>
        <w:pStyle w:val="Zkladntext3"/>
        <w:spacing w:before="60" w:line="240" w:lineRule="auto"/>
        <w:jc w:val="center"/>
        <w:rPr>
          <w:b/>
          <w:iCs/>
          <w:sz w:val="18"/>
          <w:szCs w:val="16"/>
        </w:rPr>
      </w:pPr>
      <w:r w:rsidRPr="002171F9">
        <w:rPr>
          <w:b/>
          <w:iCs/>
          <w:sz w:val="18"/>
          <w:szCs w:val="16"/>
        </w:rPr>
        <w:t>k</w:t>
      </w:r>
      <w:r w:rsidR="00F46930" w:rsidRPr="002171F9">
        <w:rPr>
          <w:b/>
          <w:iCs/>
          <w:sz w:val="18"/>
          <w:szCs w:val="16"/>
        </w:rPr>
        <w:t xml:space="preserve">e splnění </w:t>
      </w:r>
      <w:r w:rsidR="00AF21A9" w:rsidRPr="002171F9">
        <w:rPr>
          <w:b/>
          <w:iCs/>
          <w:sz w:val="18"/>
          <w:szCs w:val="16"/>
        </w:rPr>
        <w:t>zvláštních podmínek</w:t>
      </w:r>
      <w:r w:rsidR="00F46930" w:rsidRPr="002171F9">
        <w:rPr>
          <w:b/>
          <w:iCs/>
          <w:sz w:val="18"/>
          <w:szCs w:val="16"/>
        </w:rPr>
        <w:t xml:space="preserve"> pro plnění veřejné zakázky</w:t>
      </w:r>
      <w:r w:rsidR="002171F9">
        <w:rPr>
          <w:b/>
          <w:iCs/>
          <w:sz w:val="18"/>
          <w:szCs w:val="16"/>
        </w:rPr>
        <w:t>.</w:t>
      </w:r>
    </w:p>
    <w:p w14:paraId="2A3A2330" w14:textId="77777777" w:rsidR="00F46930" w:rsidRPr="002171F9" w:rsidRDefault="00F46930" w:rsidP="00F46930">
      <w:pPr>
        <w:pStyle w:val="Zkladntext3"/>
        <w:spacing w:before="60" w:line="240" w:lineRule="auto"/>
        <w:rPr>
          <w:i/>
          <w:iCs/>
          <w:sz w:val="16"/>
          <w:szCs w:val="16"/>
        </w:rPr>
      </w:pPr>
    </w:p>
    <w:p w14:paraId="1364B4DE" w14:textId="77777777" w:rsidR="00F46930" w:rsidRPr="002171F9" w:rsidRDefault="00F46930" w:rsidP="00F46930">
      <w:pPr>
        <w:pStyle w:val="Zkladntext3"/>
        <w:spacing w:before="60" w:line="240" w:lineRule="auto"/>
        <w:rPr>
          <w:i/>
          <w:iCs/>
          <w:sz w:val="16"/>
          <w:szCs w:val="16"/>
        </w:rPr>
      </w:pPr>
    </w:p>
    <w:p w14:paraId="197B669E" w14:textId="7CA387CF" w:rsidR="00F46930" w:rsidRPr="002171F9" w:rsidRDefault="00F46930" w:rsidP="00F46930">
      <w:pPr>
        <w:pStyle w:val="Zkladntext3"/>
        <w:spacing w:before="60" w:line="240" w:lineRule="auto"/>
        <w:rPr>
          <w:iCs/>
          <w:sz w:val="18"/>
          <w:szCs w:val="16"/>
        </w:rPr>
      </w:pPr>
      <w:r w:rsidRPr="002171F9">
        <w:rPr>
          <w:iCs/>
          <w:sz w:val="18"/>
          <w:szCs w:val="16"/>
        </w:rPr>
        <w:t xml:space="preserve">Dodavatel vyplní podbarvené části </w:t>
      </w:r>
      <w:r w:rsidR="00F52D68" w:rsidRPr="002171F9">
        <w:rPr>
          <w:iCs/>
          <w:sz w:val="18"/>
          <w:szCs w:val="16"/>
        </w:rPr>
        <w:t>označené heslem</w:t>
      </w:r>
      <w:r w:rsidRPr="002171F9">
        <w:rPr>
          <w:iCs/>
          <w:sz w:val="18"/>
          <w:szCs w:val="16"/>
        </w:rPr>
        <w:t xml:space="preserve"> „DOPLNIT“</w:t>
      </w:r>
      <w:r w:rsidR="00BB54F2" w:rsidRPr="002171F9">
        <w:rPr>
          <w:iCs/>
          <w:sz w:val="18"/>
          <w:szCs w:val="16"/>
        </w:rPr>
        <w:t>. Text těchto vzorů</w:t>
      </w:r>
      <w:r w:rsidR="002171F9">
        <w:rPr>
          <w:iCs/>
          <w:sz w:val="18"/>
          <w:szCs w:val="16"/>
        </w:rPr>
        <w:t>,</w:t>
      </w:r>
      <w:r w:rsidR="00BB54F2" w:rsidRPr="002171F9">
        <w:rPr>
          <w:iCs/>
          <w:sz w:val="18"/>
          <w:szCs w:val="16"/>
        </w:rPr>
        <w:t xml:space="preserve"> </w:t>
      </w:r>
      <w:r w:rsidR="002171F9" w:rsidRPr="002171F9">
        <w:rPr>
          <w:iCs/>
          <w:sz w:val="18"/>
          <w:szCs w:val="16"/>
        </w:rPr>
        <w:t xml:space="preserve">případně </w:t>
      </w:r>
      <w:r w:rsidR="00BB54F2" w:rsidRPr="002171F9">
        <w:rPr>
          <w:iCs/>
          <w:sz w:val="18"/>
          <w:szCs w:val="16"/>
        </w:rPr>
        <w:t xml:space="preserve">doplněný </w:t>
      </w:r>
      <w:r w:rsidR="002171F9" w:rsidRPr="002171F9">
        <w:rPr>
          <w:iCs/>
          <w:sz w:val="18"/>
          <w:szCs w:val="16"/>
        </w:rPr>
        <w:br/>
      </w:r>
      <w:r w:rsidR="00BB54F2" w:rsidRPr="002171F9">
        <w:rPr>
          <w:iCs/>
          <w:sz w:val="18"/>
          <w:szCs w:val="16"/>
        </w:rPr>
        <w:t>o příslušné doklady</w:t>
      </w:r>
      <w:r w:rsidR="002171F9">
        <w:rPr>
          <w:iCs/>
          <w:sz w:val="18"/>
          <w:szCs w:val="16"/>
        </w:rPr>
        <w:t>,</w:t>
      </w:r>
      <w:r w:rsidR="00BB54F2" w:rsidRPr="002171F9">
        <w:rPr>
          <w:iCs/>
          <w:sz w:val="18"/>
          <w:szCs w:val="16"/>
        </w:rPr>
        <w:t xml:space="preserve"> lze použít přímo do nabídky.</w:t>
      </w:r>
    </w:p>
    <w:p w14:paraId="2E1C7731" w14:textId="77777777" w:rsidR="00F46930" w:rsidRPr="00C16AD4" w:rsidRDefault="00F46930" w:rsidP="00F46930">
      <w:pPr>
        <w:pStyle w:val="Zkladntext3"/>
        <w:spacing w:before="60" w:line="240" w:lineRule="auto"/>
        <w:rPr>
          <w:i/>
          <w:iCs/>
          <w:sz w:val="16"/>
          <w:szCs w:val="16"/>
        </w:rPr>
      </w:pPr>
    </w:p>
    <w:p w14:paraId="15156AB2" w14:textId="77777777" w:rsidR="00F46930" w:rsidRPr="00C16AD4" w:rsidRDefault="00F46930" w:rsidP="00F46930">
      <w:pPr>
        <w:pStyle w:val="Zkladntext3"/>
        <w:spacing w:before="60" w:line="240" w:lineRule="auto"/>
        <w:rPr>
          <w:i/>
          <w:iCs/>
          <w:color w:val="FF0000"/>
          <w:sz w:val="16"/>
          <w:szCs w:val="16"/>
        </w:rPr>
      </w:pPr>
    </w:p>
    <w:p w14:paraId="71AAE49C" w14:textId="77777777" w:rsidR="00F46930" w:rsidRPr="00C16AD4" w:rsidRDefault="00F46930" w:rsidP="00F46930">
      <w:pPr>
        <w:pStyle w:val="Zkladntext3"/>
        <w:spacing w:before="60" w:line="240" w:lineRule="auto"/>
        <w:rPr>
          <w:i/>
          <w:iCs/>
          <w:sz w:val="16"/>
          <w:szCs w:val="16"/>
        </w:rPr>
      </w:pPr>
    </w:p>
    <w:p w14:paraId="44112C7B" w14:textId="77777777" w:rsidR="002F71AB" w:rsidRPr="00C16AD4" w:rsidRDefault="002F71AB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61E4559B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0FB4FCDE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2D559728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4794B073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2E41FA3B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342963BB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32E3BC8D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65C528DD" w14:textId="77777777" w:rsidR="003B2B88" w:rsidRPr="00C16AD4" w:rsidRDefault="003B2B88" w:rsidP="002F71AB">
      <w:pPr>
        <w:ind w:left="540" w:hanging="540"/>
        <w:jc w:val="both"/>
        <w:rPr>
          <w:rFonts w:ascii="Arial" w:hAnsi="Arial" w:cs="Arial"/>
          <w:b/>
          <w:sz w:val="20"/>
          <w:szCs w:val="20"/>
        </w:rPr>
      </w:pPr>
    </w:p>
    <w:p w14:paraId="57BD969A" w14:textId="77777777" w:rsidR="002F71AB" w:rsidRDefault="002F71AB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1F477680" w14:textId="77777777" w:rsidR="00B718D3" w:rsidRDefault="00B718D3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1399DD33" w14:textId="77777777" w:rsidR="00EB4EEC" w:rsidRDefault="00EB4EEC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10C7B90F" w14:textId="77777777" w:rsidR="00EB4EEC" w:rsidRDefault="00EB4EEC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59132B85" w14:textId="77777777" w:rsidR="00EB4EEC" w:rsidRDefault="00EB4EEC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4EF3D751" w14:textId="77777777" w:rsidR="00C16AD4" w:rsidRDefault="00C16AD4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14D9CBED" w14:textId="77777777" w:rsidR="00C16AD4" w:rsidRDefault="00C16AD4" w:rsidP="002F71AB">
      <w:pPr>
        <w:ind w:left="540" w:hanging="540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7B5305EB" w14:textId="77777777" w:rsidR="00F46930" w:rsidRPr="00C16AD4" w:rsidRDefault="00F46930" w:rsidP="00F46930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3B16FDEF" w14:textId="77777777" w:rsidR="00063784" w:rsidRPr="00C16AD4" w:rsidRDefault="00063784" w:rsidP="001C124F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C16AD4">
        <w:rPr>
          <w:rFonts w:ascii="Arial" w:hAnsi="Arial" w:cs="Arial"/>
          <w:b/>
          <w:sz w:val="20"/>
          <w:szCs w:val="20"/>
        </w:rPr>
        <w:t xml:space="preserve">Dodavatel: </w:t>
      </w:r>
      <w:r w:rsidRPr="00C16AD4">
        <w:rPr>
          <w:rFonts w:ascii="Arial" w:hAnsi="Arial" w:cs="Arial"/>
          <w:b/>
          <w:sz w:val="20"/>
          <w:szCs w:val="20"/>
        </w:rPr>
        <w:tab/>
      </w:r>
      <w:r w:rsidRPr="001C124F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....................................................................................................................................</w:t>
      </w:r>
      <w:r w:rsidRPr="001C124F">
        <w:rPr>
          <w:rFonts w:ascii="Arial" w:hAnsi="Arial" w:cs="Arial"/>
          <w:i/>
          <w:sz w:val="20"/>
          <w:szCs w:val="20"/>
        </w:rPr>
        <w:t xml:space="preserve"> </w:t>
      </w:r>
      <w:r w:rsidRPr="00C16AD4">
        <w:rPr>
          <w:rFonts w:ascii="Arial" w:hAnsi="Arial" w:cs="Arial"/>
          <w:b/>
          <w:i/>
          <w:color w:val="FF0000"/>
          <w:sz w:val="20"/>
          <w:szCs w:val="20"/>
        </w:rPr>
        <w:t>DOPLNIT</w:t>
      </w:r>
      <w:proofErr w:type="gramEnd"/>
    </w:p>
    <w:p w14:paraId="3B2A6881" w14:textId="77777777" w:rsidR="00F52D68" w:rsidRDefault="00F52D68" w:rsidP="00063784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1C230A42" w14:textId="77777777" w:rsidR="00A47DB3" w:rsidRDefault="00A47DB3" w:rsidP="00063784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074D38B5" w14:textId="77777777" w:rsidR="00A47DB3" w:rsidRDefault="00A47DB3" w:rsidP="00063784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7C189383" w14:textId="1FFD96DB" w:rsidR="00063784" w:rsidRPr="00C16AD4" w:rsidRDefault="00063784" w:rsidP="00063784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C16AD4">
        <w:rPr>
          <w:rFonts w:ascii="Arial" w:hAnsi="Arial" w:cs="Arial"/>
          <w:b/>
          <w:sz w:val="20"/>
          <w:szCs w:val="20"/>
        </w:rPr>
        <w:t xml:space="preserve">který podává </w:t>
      </w:r>
      <w:r w:rsidR="003B2B88" w:rsidRPr="00C16AD4">
        <w:rPr>
          <w:rFonts w:ascii="Arial" w:hAnsi="Arial" w:cs="Arial"/>
          <w:b/>
          <w:sz w:val="20"/>
          <w:szCs w:val="20"/>
        </w:rPr>
        <w:t>nabídku na veřejnou zakázku</w:t>
      </w:r>
      <w:r w:rsidR="003B2B88" w:rsidRPr="00C16AD4">
        <w:rPr>
          <w:rFonts w:ascii="Arial" w:hAnsi="Arial" w:cs="Arial"/>
          <w:b/>
          <w:bCs/>
          <w:sz w:val="34"/>
          <w:szCs w:val="34"/>
        </w:rPr>
        <w:t xml:space="preserve"> </w:t>
      </w:r>
      <w:r w:rsidR="003B2B88" w:rsidRPr="00C16AD4">
        <w:rPr>
          <w:rFonts w:ascii="Arial" w:hAnsi="Arial" w:cs="Arial"/>
          <w:b/>
          <w:bCs/>
          <w:sz w:val="20"/>
          <w:szCs w:val="20"/>
        </w:rPr>
        <w:t>„</w:t>
      </w:r>
      <w:r w:rsidR="000B55E8" w:rsidRPr="000B55E8">
        <w:rPr>
          <w:rFonts w:ascii="Arial" w:hAnsi="Arial" w:cs="Arial"/>
          <w:b/>
          <w:sz w:val="20"/>
          <w:szCs w:val="20"/>
        </w:rPr>
        <w:t>Centrální pojištění majetku, odpovědnosti a vozidel statuárního města Opavy včetně příspěvkových organizací a obchodních organizací</w:t>
      </w:r>
      <w:r w:rsidR="003B2B88" w:rsidRPr="00C16AD4">
        <w:rPr>
          <w:rFonts w:ascii="Arial" w:hAnsi="Arial" w:cs="Arial"/>
          <w:b/>
          <w:bCs/>
          <w:sz w:val="20"/>
          <w:szCs w:val="20"/>
        </w:rPr>
        <w:t>“</w:t>
      </w:r>
      <w:r w:rsidR="003B2B88" w:rsidRPr="00C16AD4">
        <w:rPr>
          <w:rFonts w:ascii="Arial" w:hAnsi="Arial" w:cs="Arial"/>
          <w:b/>
          <w:sz w:val="20"/>
          <w:szCs w:val="20"/>
        </w:rPr>
        <w:t>,</w:t>
      </w:r>
    </w:p>
    <w:p w14:paraId="55DFF2B0" w14:textId="77777777" w:rsidR="00063784" w:rsidRPr="00C16AD4" w:rsidRDefault="00063784" w:rsidP="00063784">
      <w:pPr>
        <w:autoSpaceDE w:val="0"/>
        <w:autoSpaceDN w:val="0"/>
        <w:jc w:val="center"/>
        <w:rPr>
          <w:rFonts w:ascii="Arial" w:hAnsi="Arial" w:cs="Arial"/>
          <w:b/>
          <w:sz w:val="22"/>
          <w:szCs w:val="20"/>
        </w:rPr>
      </w:pPr>
    </w:p>
    <w:p w14:paraId="0B6E2B93" w14:textId="5EFB5909" w:rsidR="00063784" w:rsidRPr="00C16AD4" w:rsidRDefault="00063784" w:rsidP="00063784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C16AD4">
        <w:rPr>
          <w:rFonts w:ascii="Arial" w:hAnsi="Arial" w:cs="Arial"/>
          <w:b/>
          <w:sz w:val="20"/>
          <w:szCs w:val="20"/>
        </w:rPr>
        <w:t xml:space="preserve">čestně prohlašuje k podmínkám uvedeným v odst. </w:t>
      </w:r>
      <w:r w:rsidR="005059E7">
        <w:rPr>
          <w:rFonts w:ascii="Arial" w:hAnsi="Arial" w:cs="Arial"/>
          <w:b/>
          <w:sz w:val="20"/>
          <w:szCs w:val="20"/>
        </w:rPr>
        <w:t>13.2</w:t>
      </w:r>
      <w:bookmarkStart w:id="0" w:name="_GoBack"/>
      <w:bookmarkEnd w:id="0"/>
      <w:r w:rsidRPr="00C16AD4">
        <w:rPr>
          <w:rFonts w:ascii="Arial" w:hAnsi="Arial" w:cs="Arial"/>
          <w:b/>
          <w:sz w:val="20"/>
          <w:szCs w:val="20"/>
        </w:rPr>
        <w:t>. Zadávacích podmínek:</w:t>
      </w:r>
    </w:p>
    <w:p w14:paraId="1C8A4D84" w14:textId="77777777" w:rsidR="00F46930" w:rsidRPr="00C16AD4" w:rsidRDefault="00F46930" w:rsidP="00F46930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07954603" w14:textId="50E702EF" w:rsidR="00D971FB" w:rsidRPr="005059E7" w:rsidRDefault="00D971FB" w:rsidP="005059E7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5059E7">
        <w:rPr>
          <w:rFonts w:ascii="Arial" w:hAnsi="Arial" w:cs="Arial"/>
          <w:sz w:val="20"/>
          <w:szCs w:val="20"/>
        </w:rPr>
        <w:t>Vybraný dodavatel je povinen zpracovat všechny součásti a dokumenty související s</w:t>
      </w:r>
      <w:r w:rsidR="005059E7">
        <w:rPr>
          <w:rFonts w:ascii="Arial" w:hAnsi="Arial" w:cs="Arial"/>
          <w:sz w:val="20"/>
          <w:szCs w:val="20"/>
        </w:rPr>
        <w:t> </w:t>
      </w:r>
      <w:r w:rsidRPr="005059E7">
        <w:rPr>
          <w:rFonts w:ascii="Arial" w:hAnsi="Arial" w:cs="Arial"/>
          <w:sz w:val="20"/>
          <w:szCs w:val="20"/>
        </w:rPr>
        <w:t>předmětem</w:t>
      </w:r>
      <w:r w:rsidR="005059E7">
        <w:rPr>
          <w:rFonts w:ascii="Arial" w:hAnsi="Arial" w:cs="Arial"/>
          <w:sz w:val="20"/>
          <w:szCs w:val="20"/>
        </w:rPr>
        <w:t xml:space="preserve"> </w:t>
      </w:r>
      <w:r w:rsidRPr="005059E7">
        <w:rPr>
          <w:rFonts w:ascii="Arial" w:hAnsi="Arial" w:cs="Arial"/>
          <w:sz w:val="20"/>
          <w:szCs w:val="20"/>
        </w:rPr>
        <w:t>plnění veřejné zakázky v průběhu realizace veřejné zakázky v českém jazyce a vést všechna jednání, vč. jednání na pracovní úrovni v průběhu realizace VZ v českém jazyce. Účastník zadávacího řízení splní tuto podmínku doložením čestného prohlášení v nabídce, které bude vyjadřovat tento závazek.</w:t>
      </w:r>
    </w:p>
    <w:p w14:paraId="04AB989E" w14:textId="77777777" w:rsidR="00D971FB" w:rsidRPr="00D971FB" w:rsidRDefault="00D971FB" w:rsidP="00D971FB">
      <w:pPr>
        <w:jc w:val="both"/>
        <w:rPr>
          <w:rFonts w:ascii="Arial" w:hAnsi="Arial" w:cs="Arial"/>
          <w:sz w:val="20"/>
          <w:szCs w:val="20"/>
        </w:rPr>
      </w:pPr>
    </w:p>
    <w:p w14:paraId="460A895D" w14:textId="77777777" w:rsidR="00D971FB" w:rsidRPr="005059E7" w:rsidRDefault="00D971FB" w:rsidP="005059E7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5059E7">
        <w:rPr>
          <w:rFonts w:ascii="Arial" w:hAnsi="Arial" w:cs="Arial"/>
          <w:sz w:val="20"/>
          <w:szCs w:val="20"/>
        </w:rPr>
        <w:t xml:space="preserve">Účastník zadávacího řízení jako budoucí dodavatel není oprávněn v souvislosti s realizací zakázky postupovat své pohledávky jiným subjektům. Zadavatel požaduje, aby účastník zadávacího řízení doložil v nabídce čestné prohlášení o tom, že si je této povinnosti vědom a bude ji respektovat. </w:t>
      </w:r>
    </w:p>
    <w:p w14:paraId="1D4495D2" w14:textId="77777777" w:rsidR="00D971FB" w:rsidRPr="00D971FB" w:rsidRDefault="00D971FB" w:rsidP="00D971FB">
      <w:pPr>
        <w:jc w:val="both"/>
        <w:rPr>
          <w:rFonts w:ascii="Arial" w:hAnsi="Arial" w:cs="Arial"/>
          <w:sz w:val="20"/>
          <w:szCs w:val="20"/>
        </w:rPr>
      </w:pPr>
    </w:p>
    <w:p w14:paraId="6B345561" w14:textId="77777777" w:rsidR="00D971FB" w:rsidRPr="005059E7" w:rsidRDefault="00D971FB" w:rsidP="005059E7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5059E7">
        <w:rPr>
          <w:rFonts w:ascii="Arial" w:hAnsi="Arial" w:cs="Arial"/>
          <w:sz w:val="20"/>
          <w:szCs w:val="20"/>
        </w:rPr>
        <w:t xml:space="preserve">Zadavatel požaduje, aby účastník zadávacího řízení doložil v nabídce čestné prohlášení, že číslo účtu, které uvedl v návrhu smlouvy, skutečně odpovídá číslu účtu, který účastník zadávacího řízení užívá v rámci své podnikatelské činnosti, resp. že se jedná o bankovní účet plátce DPH, který je zveřejněn v registru plátců DPH, pokud je účastník zadávacího řízení plátcem DPH. </w:t>
      </w:r>
    </w:p>
    <w:p w14:paraId="51BC5E00" w14:textId="77777777" w:rsidR="00D971FB" w:rsidRPr="00D971FB" w:rsidRDefault="00D971FB" w:rsidP="00D971FB">
      <w:pPr>
        <w:jc w:val="both"/>
        <w:rPr>
          <w:rFonts w:ascii="Arial" w:hAnsi="Arial" w:cs="Arial"/>
          <w:sz w:val="20"/>
          <w:szCs w:val="20"/>
        </w:rPr>
      </w:pPr>
    </w:p>
    <w:p w14:paraId="426F1844" w14:textId="77777777" w:rsidR="00D971FB" w:rsidRPr="005059E7" w:rsidRDefault="00D971FB" w:rsidP="005059E7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5059E7">
        <w:rPr>
          <w:rFonts w:ascii="Arial" w:hAnsi="Arial" w:cs="Arial"/>
          <w:sz w:val="20"/>
          <w:szCs w:val="20"/>
        </w:rPr>
        <w:t>Zadavatel požaduje, aby účastník zadávacího řízení doložil v nabídce čestné prohlášení o tom, že jako dodavatel, který podává nabídku v zadávacím řízení, není současně poddodavatelem, jehož prostřednictvím jiný dodavatel v tomtéž zadávacím řízení prokazuje kvalifikaci. Současně účastník zadávacího řízení vyplní a doloží v nabídce tabulku „Poddodavatelé“ (Příloha č. 3 Zadávacích podmínek), v níž uvede ty poddodavatele, jejichž prostřednictvím prokazuje kvalifikaci.</w:t>
      </w:r>
    </w:p>
    <w:p w14:paraId="3B02C29E" w14:textId="77777777" w:rsidR="00D971FB" w:rsidRPr="00D971FB" w:rsidRDefault="00D971FB" w:rsidP="00D971FB">
      <w:pPr>
        <w:jc w:val="both"/>
        <w:rPr>
          <w:rFonts w:ascii="Arial" w:hAnsi="Arial" w:cs="Arial"/>
          <w:sz w:val="20"/>
          <w:szCs w:val="20"/>
        </w:rPr>
      </w:pPr>
    </w:p>
    <w:p w14:paraId="7F9B54E6" w14:textId="36F1C3E6" w:rsidR="00D971FB" w:rsidRPr="005059E7" w:rsidRDefault="00D971FB" w:rsidP="005059E7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5059E7">
        <w:rPr>
          <w:rFonts w:ascii="Arial" w:hAnsi="Arial" w:cs="Arial"/>
          <w:sz w:val="20"/>
          <w:szCs w:val="20"/>
        </w:rPr>
        <w:t>Účastník zadávacího řízení, který podává nabídku v zadávacím řízení, si je vědom skutečnosti,</w:t>
      </w:r>
      <w:r w:rsidR="005059E7">
        <w:rPr>
          <w:rFonts w:ascii="Arial" w:hAnsi="Arial" w:cs="Arial"/>
          <w:sz w:val="20"/>
          <w:szCs w:val="20"/>
        </w:rPr>
        <w:t xml:space="preserve"> </w:t>
      </w:r>
      <w:r w:rsidRPr="005059E7">
        <w:rPr>
          <w:rFonts w:ascii="Arial" w:hAnsi="Arial" w:cs="Arial"/>
          <w:sz w:val="20"/>
          <w:szCs w:val="20"/>
        </w:rPr>
        <w:t>že zadavatel nesmí ve vztahu k vybranému dodavateli, s nímž byla uzavřena smlouva, umožnit podstatnou změnu závazku ze smlouvy na veřejnou zakázku podle § 222 odst. 1 zákona.</w:t>
      </w:r>
    </w:p>
    <w:p w14:paraId="30DF2F36" w14:textId="77777777" w:rsidR="000873F4" w:rsidRDefault="000873F4" w:rsidP="000873F4">
      <w:pPr>
        <w:jc w:val="both"/>
        <w:rPr>
          <w:rFonts w:ascii="Arial" w:hAnsi="Arial" w:cs="Arial"/>
          <w:sz w:val="20"/>
          <w:szCs w:val="20"/>
        </w:rPr>
      </w:pPr>
    </w:p>
    <w:p w14:paraId="09EBCED2" w14:textId="77777777" w:rsidR="00A47DB3" w:rsidRDefault="00A47DB3" w:rsidP="000873F4">
      <w:pPr>
        <w:jc w:val="both"/>
        <w:rPr>
          <w:rFonts w:ascii="Arial" w:hAnsi="Arial" w:cs="Arial"/>
          <w:sz w:val="20"/>
          <w:szCs w:val="20"/>
        </w:rPr>
      </w:pPr>
    </w:p>
    <w:p w14:paraId="366A03DD" w14:textId="77777777" w:rsidR="00A47DB3" w:rsidRPr="00721E06" w:rsidRDefault="00A47DB3" w:rsidP="000873F4">
      <w:pPr>
        <w:jc w:val="both"/>
        <w:rPr>
          <w:rFonts w:ascii="Arial" w:hAnsi="Arial" w:cs="Arial"/>
          <w:sz w:val="20"/>
          <w:szCs w:val="20"/>
        </w:rPr>
      </w:pPr>
    </w:p>
    <w:p w14:paraId="624DE09D" w14:textId="77777777" w:rsidR="00D52B27" w:rsidRPr="00C16AD4" w:rsidRDefault="00D52B27" w:rsidP="00F46930">
      <w:pPr>
        <w:tabs>
          <w:tab w:val="left" w:pos="21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60AECDC3" w14:textId="77777777" w:rsidR="00D74173" w:rsidRPr="00C16AD4" w:rsidRDefault="0039259F" w:rsidP="00F46930">
      <w:pPr>
        <w:tabs>
          <w:tab w:val="left" w:pos="2160"/>
        </w:tabs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C16AD4">
        <w:rPr>
          <w:rFonts w:ascii="Arial" w:hAnsi="Arial" w:cs="Arial"/>
          <w:b/>
          <w:i/>
          <w:color w:val="FF0000"/>
          <w:sz w:val="20"/>
          <w:szCs w:val="20"/>
        </w:rPr>
        <w:t>K tomu dodavatel dokládá:</w:t>
      </w:r>
    </w:p>
    <w:p w14:paraId="2D188CCE" w14:textId="33ACD03F" w:rsidR="003B2B88" w:rsidRPr="00C16AD4" w:rsidRDefault="003B2B88" w:rsidP="003B2B88">
      <w:pPr>
        <w:tabs>
          <w:tab w:val="left" w:pos="216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C16AD4">
        <w:rPr>
          <w:rFonts w:ascii="Arial" w:hAnsi="Arial" w:cs="Arial"/>
          <w:color w:val="FF0000"/>
          <w:sz w:val="20"/>
          <w:szCs w:val="20"/>
        </w:rPr>
        <w:t>Vyplněnou tabulku: „Poddodavatelé“</w:t>
      </w:r>
      <w:r w:rsidR="000873F4">
        <w:rPr>
          <w:rFonts w:ascii="Arial" w:hAnsi="Arial" w:cs="Arial"/>
          <w:color w:val="FF0000"/>
          <w:sz w:val="20"/>
          <w:szCs w:val="20"/>
        </w:rPr>
        <w:t xml:space="preserve"> (Příloha č. 3</w:t>
      </w:r>
      <w:r w:rsidR="001C124F">
        <w:rPr>
          <w:rFonts w:ascii="Arial" w:hAnsi="Arial" w:cs="Arial"/>
          <w:color w:val="FF0000"/>
          <w:sz w:val="20"/>
          <w:szCs w:val="20"/>
        </w:rPr>
        <w:t xml:space="preserve"> Zadávací dokumentace)</w:t>
      </w:r>
    </w:p>
    <w:p w14:paraId="21DE81F2" w14:textId="77777777" w:rsidR="006C745B" w:rsidRPr="00C16AD4" w:rsidRDefault="006C745B" w:rsidP="00F46930">
      <w:pPr>
        <w:tabs>
          <w:tab w:val="left" w:pos="21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6BD3EA5D" w14:textId="77777777" w:rsidR="001C124F" w:rsidRDefault="001C124F" w:rsidP="00F46930">
      <w:pPr>
        <w:tabs>
          <w:tab w:val="left" w:pos="21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3BD2F163" w14:textId="77777777" w:rsidR="001C124F" w:rsidRDefault="001C124F" w:rsidP="00F46930">
      <w:pPr>
        <w:tabs>
          <w:tab w:val="left" w:pos="21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702BE2D9" w14:textId="4D8B6661" w:rsidR="00F46930" w:rsidRPr="00F52D68" w:rsidRDefault="001C124F" w:rsidP="00F46930">
      <w:pPr>
        <w:tabs>
          <w:tab w:val="left" w:pos="2160"/>
        </w:tabs>
        <w:jc w:val="both"/>
        <w:rPr>
          <w:rFonts w:ascii="Arial" w:hAnsi="Arial" w:cs="Arial"/>
          <w:b/>
          <w:sz w:val="20"/>
          <w:szCs w:val="20"/>
        </w:rPr>
      </w:pPr>
      <w:r w:rsidRPr="00F52D68">
        <w:rPr>
          <w:rFonts w:ascii="Arial" w:hAnsi="Arial" w:cs="Arial"/>
          <w:b/>
          <w:sz w:val="20"/>
          <w:szCs w:val="20"/>
        </w:rPr>
        <w:t>Datum:</w:t>
      </w:r>
      <w:r w:rsidR="00F46930" w:rsidRPr="00F52D68">
        <w:rPr>
          <w:rFonts w:ascii="Arial" w:hAnsi="Arial" w:cs="Arial"/>
          <w:b/>
          <w:sz w:val="20"/>
          <w:szCs w:val="20"/>
        </w:rPr>
        <w:t xml:space="preserve"> </w:t>
      </w:r>
      <w:r w:rsidR="00F46930" w:rsidRPr="00F52D68">
        <w:rPr>
          <w:rFonts w:ascii="Arial" w:hAnsi="Arial" w:cs="Arial"/>
          <w:sz w:val="20"/>
          <w:szCs w:val="20"/>
          <w:highlight w:val="yellow"/>
        </w:rPr>
        <w:t>……</w:t>
      </w:r>
      <w:proofErr w:type="gramStart"/>
      <w:r w:rsidR="00F46930" w:rsidRPr="00F52D68">
        <w:rPr>
          <w:rFonts w:ascii="Arial" w:hAnsi="Arial" w:cs="Arial"/>
          <w:sz w:val="20"/>
          <w:szCs w:val="20"/>
          <w:highlight w:val="yellow"/>
        </w:rPr>
        <w:t>…..…</w:t>
      </w:r>
      <w:proofErr w:type="gramEnd"/>
      <w:r w:rsidR="00F46930" w:rsidRPr="00F52D68">
        <w:rPr>
          <w:rFonts w:ascii="Arial" w:hAnsi="Arial" w:cs="Arial"/>
          <w:sz w:val="20"/>
          <w:szCs w:val="20"/>
          <w:highlight w:val="yellow"/>
        </w:rPr>
        <w:t>………………..</w:t>
      </w:r>
    </w:p>
    <w:p w14:paraId="5EAA990A" w14:textId="146DD6A1" w:rsidR="00F46930" w:rsidRPr="00F52D68" w:rsidRDefault="00F52D68" w:rsidP="00F46930">
      <w:pPr>
        <w:tabs>
          <w:tab w:val="left" w:pos="216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52D68">
        <w:rPr>
          <w:rFonts w:ascii="Arial" w:hAnsi="Arial" w:cs="Arial"/>
          <w:b/>
          <w:color w:val="FF0000"/>
          <w:sz w:val="20"/>
          <w:szCs w:val="20"/>
        </w:rPr>
        <w:t xml:space="preserve">                      DOPLNIT</w:t>
      </w:r>
    </w:p>
    <w:p w14:paraId="51BDF85D" w14:textId="77777777" w:rsidR="00F46930" w:rsidRPr="00F52D68" w:rsidRDefault="00F46930" w:rsidP="00F46930">
      <w:pPr>
        <w:tabs>
          <w:tab w:val="left" w:pos="2160"/>
        </w:tabs>
        <w:jc w:val="both"/>
        <w:rPr>
          <w:rFonts w:ascii="Arial" w:hAnsi="Arial" w:cs="Arial"/>
          <w:b/>
          <w:sz w:val="20"/>
          <w:szCs w:val="20"/>
        </w:rPr>
      </w:pPr>
    </w:p>
    <w:p w14:paraId="7FEDD88E" w14:textId="77777777" w:rsidR="00F46930" w:rsidRPr="00C16AD4" w:rsidRDefault="00F46930" w:rsidP="00F46930">
      <w:pPr>
        <w:tabs>
          <w:tab w:val="left" w:pos="21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6299B872" w14:textId="77777777" w:rsidR="00F46930" w:rsidRPr="00C16AD4" w:rsidRDefault="00F46930" w:rsidP="00F46930">
      <w:pPr>
        <w:tabs>
          <w:tab w:val="left" w:pos="2160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14:paraId="15E89B10" w14:textId="268349B2" w:rsidR="00F46930" w:rsidRPr="001C124F" w:rsidRDefault="00F46930" w:rsidP="001C124F">
      <w:pPr>
        <w:ind w:left="709"/>
        <w:jc w:val="center"/>
        <w:rPr>
          <w:rFonts w:ascii="Arial" w:hAnsi="Arial" w:cs="Arial"/>
          <w:i/>
          <w:sz w:val="20"/>
          <w:szCs w:val="20"/>
        </w:rPr>
      </w:pPr>
      <w:r w:rsidRPr="001C124F">
        <w:rPr>
          <w:rFonts w:ascii="Arial" w:hAnsi="Arial" w:cs="Arial"/>
          <w:i/>
          <w:sz w:val="20"/>
          <w:szCs w:val="20"/>
          <w:highlight w:val="yellow"/>
        </w:rPr>
        <w:t>................................................................................</w:t>
      </w:r>
    </w:p>
    <w:p w14:paraId="17918091" w14:textId="523A08A2" w:rsidR="00F46930" w:rsidRPr="001C124F" w:rsidRDefault="00F52D68" w:rsidP="00F46930">
      <w:pPr>
        <w:tabs>
          <w:tab w:val="left" w:pos="2160"/>
        </w:tabs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DOPLNIT: p</w:t>
      </w:r>
      <w:r w:rsidR="00F46930" w:rsidRPr="001C124F">
        <w:rPr>
          <w:rFonts w:ascii="Arial" w:hAnsi="Arial" w:cs="Arial"/>
          <w:b/>
          <w:i/>
          <w:color w:val="FF0000"/>
          <w:sz w:val="20"/>
          <w:szCs w:val="20"/>
        </w:rPr>
        <w:t xml:space="preserve">odpis oprávněné osoby dodavatele v souladu se způsobem jednání právnické nebo fyzické osoby </w:t>
      </w:r>
      <w:r w:rsidR="00411B31" w:rsidRPr="001C124F">
        <w:rPr>
          <w:rFonts w:ascii="Arial" w:hAnsi="Arial" w:cs="Arial"/>
          <w:b/>
          <w:i/>
          <w:color w:val="FF0000"/>
          <w:sz w:val="20"/>
          <w:szCs w:val="20"/>
        </w:rPr>
        <w:t>podle občanského zákoníku a způsobu jednání podle výpisu z obchodního rejstříku</w:t>
      </w:r>
      <w:r w:rsidR="00143893" w:rsidRPr="001C124F">
        <w:rPr>
          <w:rFonts w:ascii="Arial" w:hAnsi="Arial" w:cs="Arial"/>
          <w:b/>
          <w:i/>
          <w:color w:val="FF0000"/>
          <w:sz w:val="20"/>
          <w:szCs w:val="20"/>
        </w:rPr>
        <w:t>.</w:t>
      </w:r>
    </w:p>
    <w:p w14:paraId="43FE06A7" w14:textId="77777777" w:rsidR="00F46930" w:rsidRPr="00C16AD4" w:rsidRDefault="00F46930" w:rsidP="00F46930">
      <w:pPr>
        <w:suppressAutoHyphens/>
        <w:spacing w:before="120"/>
        <w:ind w:left="142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0352158E" w14:textId="77777777" w:rsidR="00F46930" w:rsidRPr="00C16AD4" w:rsidRDefault="00F46930" w:rsidP="00F46930">
      <w:pPr>
        <w:suppressAutoHyphens/>
        <w:spacing w:before="120"/>
        <w:ind w:left="142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7F1196BD" w14:textId="77777777" w:rsidR="00F46930" w:rsidRPr="00C16AD4" w:rsidRDefault="00F46930" w:rsidP="00F46930">
      <w:pPr>
        <w:suppressAutoHyphens/>
        <w:spacing w:before="120"/>
        <w:ind w:left="142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sectPr w:rsidR="00F46930" w:rsidRPr="00C16AD4" w:rsidSect="003B2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B2625" w14:textId="77777777" w:rsidR="004A7628" w:rsidRDefault="004A7628">
      <w:r>
        <w:separator/>
      </w:r>
    </w:p>
  </w:endnote>
  <w:endnote w:type="continuationSeparator" w:id="0">
    <w:p w14:paraId="27F3E5AD" w14:textId="77777777" w:rsidR="004A7628" w:rsidRDefault="004A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49723" w14:textId="77777777" w:rsidR="0098313A" w:rsidRDefault="009831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6B007" w14:textId="77777777" w:rsidR="00B02C0F" w:rsidRPr="00460C4D" w:rsidRDefault="00B02C0F" w:rsidP="00B02C0F">
    <w:pPr>
      <w:pStyle w:val="Zpat"/>
      <w:pBdr>
        <w:bottom w:val="single" w:sz="12" w:space="1" w:color="auto"/>
      </w:pBdr>
      <w:rPr>
        <w:rFonts w:ascii="Palatino Linotype" w:hAnsi="Palatino Linotype"/>
        <w:i/>
        <w:sz w:val="6"/>
        <w:szCs w:val="16"/>
      </w:rPr>
    </w:pPr>
  </w:p>
  <w:p w14:paraId="27AE7BE6" w14:textId="77777777" w:rsidR="001C124F" w:rsidRDefault="001C124F" w:rsidP="00B02C0F">
    <w:pPr>
      <w:pStyle w:val="Zpat"/>
      <w:rPr>
        <w:rFonts w:ascii="Arial" w:hAnsi="Arial" w:cs="Arial"/>
        <w:sz w:val="20"/>
        <w:szCs w:val="20"/>
      </w:rPr>
    </w:pPr>
  </w:p>
  <w:p w14:paraId="3C514428" w14:textId="77777777" w:rsidR="0098313A" w:rsidRDefault="0098313A" w:rsidP="0098313A">
    <w:pPr>
      <w:pStyle w:val="Zpat"/>
      <w:rPr>
        <w:rStyle w:val="slostrnky"/>
        <w:rFonts w:ascii="Palatino Linotype" w:hAnsi="Palatino Linotype"/>
        <w:b/>
        <w:sz w:val="20"/>
        <w:szCs w:val="16"/>
      </w:rPr>
    </w:pPr>
    <w:r>
      <w:rPr>
        <w:rFonts w:ascii="Arial" w:hAnsi="Arial" w:cs="Arial"/>
        <w:sz w:val="20"/>
        <w:szCs w:val="20"/>
      </w:rPr>
      <w:t>Příloha č. 2 Zadávacích podmínek</w:t>
    </w:r>
  </w:p>
  <w:p w14:paraId="1B6BE658" w14:textId="14A941E2" w:rsidR="00B02C0F" w:rsidRDefault="00B02C0F" w:rsidP="0098313A">
    <w:pPr>
      <w:pStyle w:val="Zpat"/>
      <w:rPr>
        <w:rStyle w:val="slostrnky"/>
        <w:rFonts w:ascii="Palatino Linotype" w:hAnsi="Palatino Linotype"/>
        <w:b/>
        <w:sz w:val="20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310CE" w14:textId="77777777" w:rsidR="00460C4D" w:rsidRPr="00460C4D" w:rsidRDefault="00460C4D" w:rsidP="00460C4D">
    <w:pPr>
      <w:pStyle w:val="Zpat"/>
      <w:pBdr>
        <w:bottom w:val="single" w:sz="12" w:space="1" w:color="auto"/>
      </w:pBdr>
      <w:rPr>
        <w:rFonts w:ascii="Palatino Linotype" w:hAnsi="Palatino Linotype"/>
        <w:i/>
        <w:sz w:val="6"/>
        <w:szCs w:val="16"/>
      </w:rPr>
    </w:pPr>
  </w:p>
  <w:p w14:paraId="6D311C96" w14:textId="77777777" w:rsidR="001C124F" w:rsidRDefault="001C124F" w:rsidP="00460C4D">
    <w:pPr>
      <w:pStyle w:val="Zpat"/>
      <w:rPr>
        <w:rFonts w:ascii="Arial" w:hAnsi="Arial" w:cs="Arial"/>
        <w:sz w:val="20"/>
        <w:szCs w:val="20"/>
      </w:rPr>
    </w:pPr>
  </w:p>
  <w:p w14:paraId="58B878B7" w14:textId="40EB87D1" w:rsidR="00460C4D" w:rsidRDefault="0098313A" w:rsidP="00460C4D">
    <w:pPr>
      <w:pStyle w:val="Zpat"/>
      <w:rPr>
        <w:rStyle w:val="slostrnky"/>
        <w:rFonts w:ascii="Palatino Linotype" w:hAnsi="Palatino Linotype"/>
        <w:b/>
        <w:sz w:val="20"/>
        <w:szCs w:val="16"/>
      </w:rPr>
    </w:pPr>
    <w:r>
      <w:rPr>
        <w:rFonts w:ascii="Arial" w:hAnsi="Arial" w:cs="Arial"/>
        <w:sz w:val="20"/>
        <w:szCs w:val="20"/>
      </w:rPr>
      <w:t>Příloha</w:t>
    </w:r>
    <w:r w:rsidR="00F66396">
      <w:rPr>
        <w:rFonts w:ascii="Arial" w:hAnsi="Arial" w:cs="Arial"/>
        <w:sz w:val="20"/>
        <w:szCs w:val="20"/>
      </w:rPr>
      <w:t xml:space="preserve"> č</w:t>
    </w:r>
    <w:r w:rsidR="000A05C5">
      <w:rPr>
        <w:rFonts w:ascii="Arial" w:hAnsi="Arial" w:cs="Arial"/>
        <w:sz w:val="20"/>
        <w:szCs w:val="20"/>
      </w:rPr>
      <w:t>. 2</w:t>
    </w:r>
    <w:r w:rsidR="00F6639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Zadávacích podmínek</w:t>
    </w:r>
  </w:p>
  <w:p w14:paraId="6B06F427" w14:textId="77777777" w:rsidR="0098313A" w:rsidRDefault="009831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BC23F" w14:textId="77777777" w:rsidR="004A7628" w:rsidRDefault="004A7628">
      <w:r>
        <w:separator/>
      </w:r>
    </w:p>
  </w:footnote>
  <w:footnote w:type="continuationSeparator" w:id="0">
    <w:p w14:paraId="65748C0A" w14:textId="77777777" w:rsidR="004A7628" w:rsidRDefault="004A7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BAFF3" w14:textId="77777777" w:rsidR="0098313A" w:rsidRDefault="009831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79B9F" w14:textId="10E7B5FC" w:rsidR="00CC7715" w:rsidRPr="00EE5E23" w:rsidRDefault="00CC7715" w:rsidP="00CC7715">
    <w:pPr>
      <w:pBdr>
        <w:bottom w:val="single" w:sz="4" w:space="3" w:color="auto"/>
      </w:pBdr>
      <w:tabs>
        <w:tab w:val="center" w:pos="4536"/>
        <w:tab w:val="right" w:pos="9072"/>
      </w:tabs>
      <w:spacing w:before="800"/>
      <w:ind w:right="2795"/>
      <w:rPr>
        <w:caps/>
        <w:sz w:val="4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03E8601" wp14:editId="42F3754C">
          <wp:simplePos x="0" y="0"/>
          <wp:positionH relativeFrom="page">
            <wp:posOffset>5292725</wp:posOffset>
          </wp:positionH>
          <wp:positionV relativeFrom="page">
            <wp:posOffset>467995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4" name="Obrázek 4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6E09F2A2" w14:textId="77777777" w:rsidR="00CC7715" w:rsidRPr="00BF4CBD" w:rsidRDefault="00CC7715" w:rsidP="00CC7715">
    <w:pPr>
      <w:pStyle w:val="Zhlav"/>
      <w:jc w:val="center"/>
    </w:pPr>
  </w:p>
  <w:p w14:paraId="0EAE22D2" w14:textId="77777777" w:rsidR="00CC7715" w:rsidRDefault="00CC7715" w:rsidP="00CC7715">
    <w:pPr>
      <w:pStyle w:val="Zhlav"/>
      <w:pBdr>
        <w:bottom w:val="single" w:sz="12" w:space="1" w:color="auto"/>
      </w:pBdr>
      <w:jc w:val="center"/>
      <w:rPr>
        <w:rFonts w:ascii="Palatino Linotype" w:hAnsi="Palatino Linotype"/>
        <w:i/>
        <w:sz w:val="18"/>
        <w:szCs w:val="18"/>
      </w:rPr>
    </w:pPr>
    <w:r>
      <w:rPr>
        <w:rFonts w:ascii="Palatino Linotype" w:hAnsi="Palatino Linotype"/>
        <w:i/>
        <w:sz w:val="18"/>
        <w:szCs w:val="18"/>
      </w:rPr>
      <w:t>Centrální pojištění majetku, odpovědnosti a vozidel statuárního města Opavy včetně příspěvkových organizací a obchodních organizací</w:t>
    </w:r>
  </w:p>
  <w:p w14:paraId="35BBEB66" w14:textId="77777777" w:rsidR="003B2B88" w:rsidRPr="002E573D" w:rsidRDefault="003B2B88" w:rsidP="003B2B8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556A9" w14:textId="54CB2B7B" w:rsidR="00CC7715" w:rsidRPr="00EE5E23" w:rsidRDefault="00CC7715" w:rsidP="00CC7715">
    <w:pPr>
      <w:pBdr>
        <w:bottom w:val="single" w:sz="4" w:space="3" w:color="auto"/>
      </w:pBdr>
      <w:tabs>
        <w:tab w:val="center" w:pos="4536"/>
        <w:tab w:val="right" w:pos="9072"/>
      </w:tabs>
      <w:spacing w:before="800"/>
      <w:ind w:right="2795"/>
      <w:rPr>
        <w:caps/>
        <w:sz w:val="4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394A11A" wp14:editId="569CB4A6">
          <wp:simplePos x="0" y="0"/>
          <wp:positionH relativeFrom="page">
            <wp:posOffset>5292725</wp:posOffset>
          </wp:positionH>
          <wp:positionV relativeFrom="page">
            <wp:posOffset>467995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2" name="Obrázek 2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0A0A60BF" w14:textId="77777777" w:rsidR="00CC7715" w:rsidRPr="00BF4CBD" w:rsidRDefault="00CC7715" w:rsidP="00CC7715">
    <w:pPr>
      <w:pStyle w:val="Zhlav"/>
      <w:jc w:val="center"/>
    </w:pPr>
  </w:p>
  <w:p w14:paraId="7ED5E12E" w14:textId="243D4211" w:rsidR="00A66CD5" w:rsidRPr="00CC7715" w:rsidRDefault="00CC7715" w:rsidP="00CC7715">
    <w:pPr>
      <w:pStyle w:val="Zhlav"/>
      <w:pBdr>
        <w:bottom w:val="single" w:sz="12" w:space="1" w:color="auto"/>
      </w:pBdr>
      <w:jc w:val="center"/>
      <w:rPr>
        <w:rFonts w:ascii="Palatino Linotype" w:hAnsi="Palatino Linotype"/>
        <w:i/>
        <w:sz w:val="18"/>
        <w:szCs w:val="18"/>
      </w:rPr>
    </w:pPr>
    <w:r>
      <w:rPr>
        <w:rFonts w:ascii="Palatino Linotype" w:hAnsi="Palatino Linotype"/>
        <w:i/>
        <w:sz w:val="18"/>
        <w:szCs w:val="18"/>
      </w:rPr>
      <w:t>Centrální pojištění majetku, odpovědnosti a vozidel statuárního města Opavy včetně příspěvkových organizací a obchodních organizací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7D8D"/>
    <w:multiLevelType w:val="hybridMultilevel"/>
    <w:tmpl w:val="C59ECD90"/>
    <w:lvl w:ilvl="0" w:tplc="A4D03E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71D01"/>
    <w:multiLevelType w:val="hybridMultilevel"/>
    <w:tmpl w:val="BF22115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722D2"/>
    <w:multiLevelType w:val="hybridMultilevel"/>
    <w:tmpl w:val="ED3C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C03"/>
    <w:multiLevelType w:val="hybridMultilevel"/>
    <w:tmpl w:val="690C5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1451E4"/>
    <w:multiLevelType w:val="hybridMultilevel"/>
    <w:tmpl w:val="36FCA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F556A"/>
    <w:multiLevelType w:val="hybridMultilevel"/>
    <w:tmpl w:val="02E8BB7C"/>
    <w:lvl w:ilvl="0" w:tplc="3C4E0908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10" w15:restartNumberingAfterBreak="0">
    <w:nsid w:val="2AD3109D"/>
    <w:multiLevelType w:val="hybridMultilevel"/>
    <w:tmpl w:val="CD026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41DBC"/>
    <w:multiLevelType w:val="hybridMultilevel"/>
    <w:tmpl w:val="6D98CF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43AD"/>
    <w:multiLevelType w:val="hybridMultilevel"/>
    <w:tmpl w:val="A6940614"/>
    <w:lvl w:ilvl="0" w:tplc="3C4E09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2976"/>
    <w:multiLevelType w:val="multilevel"/>
    <w:tmpl w:val="92229FD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3F6D00"/>
    <w:multiLevelType w:val="hybridMultilevel"/>
    <w:tmpl w:val="C2BEA39C"/>
    <w:lvl w:ilvl="0" w:tplc="9D02F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30129"/>
    <w:multiLevelType w:val="multilevel"/>
    <w:tmpl w:val="8BEEA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D237EA"/>
    <w:multiLevelType w:val="hybridMultilevel"/>
    <w:tmpl w:val="D71A946E"/>
    <w:lvl w:ilvl="0" w:tplc="F3F23CB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E07327"/>
    <w:multiLevelType w:val="hybridMultilevel"/>
    <w:tmpl w:val="E9E816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00351A"/>
    <w:multiLevelType w:val="multilevel"/>
    <w:tmpl w:val="3F8651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A6F0C46"/>
    <w:multiLevelType w:val="hybridMultilevel"/>
    <w:tmpl w:val="F16689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85181"/>
    <w:multiLevelType w:val="hybridMultilevel"/>
    <w:tmpl w:val="EB329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C4700"/>
    <w:multiLevelType w:val="hybridMultilevel"/>
    <w:tmpl w:val="7C9047F0"/>
    <w:lvl w:ilvl="0" w:tplc="9D02F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15"/>
  </w:num>
  <w:num w:numId="7">
    <w:abstractNumId w:val="20"/>
  </w:num>
  <w:num w:numId="8">
    <w:abstractNumId w:val="0"/>
  </w:num>
  <w:num w:numId="9">
    <w:abstractNumId w:val="17"/>
  </w:num>
  <w:num w:numId="10">
    <w:abstractNumId w:val="1"/>
  </w:num>
  <w:num w:numId="11">
    <w:abstractNumId w:val="16"/>
  </w:num>
  <w:num w:numId="12">
    <w:abstractNumId w:val="25"/>
  </w:num>
  <w:num w:numId="13">
    <w:abstractNumId w:val="24"/>
  </w:num>
  <w:num w:numId="14">
    <w:abstractNumId w:val="6"/>
  </w:num>
  <w:num w:numId="15">
    <w:abstractNumId w:val="12"/>
  </w:num>
  <w:num w:numId="16">
    <w:abstractNumId w:val="5"/>
  </w:num>
  <w:num w:numId="17">
    <w:abstractNumId w:val="14"/>
  </w:num>
  <w:num w:numId="18">
    <w:abstractNumId w:val="23"/>
  </w:num>
  <w:num w:numId="19">
    <w:abstractNumId w:val="2"/>
  </w:num>
  <w:num w:numId="20">
    <w:abstractNumId w:val="9"/>
  </w:num>
  <w:num w:numId="21">
    <w:abstractNumId w:val="7"/>
  </w:num>
  <w:num w:numId="22">
    <w:abstractNumId w:val="22"/>
  </w:num>
  <w:num w:numId="23">
    <w:abstractNumId w:val="13"/>
  </w:num>
  <w:num w:numId="24">
    <w:abstractNumId w:val="18"/>
  </w:num>
  <w:num w:numId="25">
    <w:abstractNumId w:val="8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0"/>
    <w:rsid w:val="0000212A"/>
    <w:rsid w:val="000072EE"/>
    <w:rsid w:val="0005677A"/>
    <w:rsid w:val="00063784"/>
    <w:rsid w:val="00071B24"/>
    <w:rsid w:val="00082C83"/>
    <w:rsid w:val="0008640F"/>
    <w:rsid w:val="000873F4"/>
    <w:rsid w:val="000912E7"/>
    <w:rsid w:val="00092A72"/>
    <w:rsid w:val="00095DF7"/>
    <w:rsid w:val="00097782"/>
    <w:rsid w:val="000A05C5"/>
    <w:rsid w:val="000B55E8"/>
    <w:rsid w:val="000D239C"/>
    <w:rsid w:val="000E15CD"/>
    <w:rsid w:val="00111EF6"/>
    <w:rsid w:val="00136326"/>
    <w:rsid w:val="00141AC3"/>
    <w:rsid w:val="00143893"/>
    <w:rsid w:val="00144E0B"/>
    <w:rsid w:val="00162E97"/>
    <w:rsid w:val="00177338"/>
    <w:rsid w:val="001A1186"/>
    <w:rsid w:val="001A5942"/>
    <w:rsid w:val="001C0C90"/>
    <w:rsid w:val="001C124F"/>
    <w:rsid w:val="001C49EC"/>
    <w:rsid w:val="001E4395"/>
    <w:rsid w:val="001F4E93"/>
    <w:rsid w:val="00200675"/>
    <w:rsid w:val="00202EFA"/>
    <w:rsid w:val="00215461"/>
    <w:rsid w:val="002171F9"/>
    <w:rsid w:val="002566A1"/>
    <w:rsid w:val="00286D3F"/>
    <w:rsid w:val="0029423A"/>
    <w:rsid w:val="002B15AD"/>
    <w:rsid w:val="002C3D76"/>
    <w:rsid w:val="002E3AAD"/>
    <w:rsid w:val="002E4D51"/>
    <w:rsid w:val="002F71AB"/>
    <w:rsid w:val="00302626"/>
    <w:rsid w:val="00306721"/>
    <w:rsid w:val="0039259F"/>
    <w:rsid w:val="003A23AF"/>
    <w:rsid w:val="003A68BC"/>
    <w:rsid w:val="003B0102"/>
    <w:rsid w:val="003B2B88"/>
    <w:rsid w:val="00401EA1"/>
    <w:rsid w:val="00407AB1"/>
    <w:rsid w:val="00411B31"/>
    <w:rsid w:val="004513C4"/>
    <w:rsid w:val="00460C4D"/>
    <w:rsid w:val="00472BB1"/>
    <w:rsid w:val="004A62AF"/>
    <w:rsid w:val="004A7628"/>
    <w:rsid w:val="004B0EDF"/>
    <w:rsid w:val="005059E7"/>
    <w:rsid w:val="00510684"/>
    <w:rsid w:val="0051601C"/>
    <w:rsid w:val="00523F51"/>
    <w:rsid w:val="005528A6"/>
    <w:rsid w:val="005650B9"/>
    <w:rsid w:val="005751B6"/>
    <w:rsid w:val="005860CE"/>
    <w:rsid w:val="005A519A"/>
    <w:rsid w:val="005C1FD7"/>
    <w:rsid w:val="005D107D"/>
    <w:rsid w:val="005F3183"/>
    <w:rsid w:val="00605C53"/>
    <w:rsid w:val="0061365A"/>
    <w:rsid w:val="006165C3"/>
    <w:rsid w:val="006267CC"/>
    <w:rsid w:val="00646B39"/>
    <w:rsid w:val="0065261A"/>
    <w:rsid w:val="00657F3D"/>
    <w:rsid w:val="006762ED"/>
    <w:rsid w:val="00677D8E"/>
    <w:rsid w:val="00681067"/>
    <w:rsid w:val="00684BAF"/>
    <w:rsid w:val="00691A1F"/>
    <w:rsid w:val="00692478"/>
    <w:rsid w:val="006C745B"/>
    <w:rsid w:val="006E3680"/>
    <w:rsid w:val="00704378"/>
    <w:rsid w:val="00753D29"/>
    <w:rsid w:val="00760603"/>
    <w:rsid w:val="007932BB"/>
    <w:rsid w:val="00794734"/>
    <w:rsid w:val="007A52A8"/>
    <w:rsid w:val="007A6345"/>
    <w:rsid w:val="007C46DE"/>
    <w:rsid w:val="00872218"/>
    <w:rsid w:val="00881C0F"/>
    <w:rsid w:val="00884947"/>
    <w:rsid w:val="008974DE"/>
    <w:rsid w:val="0089799F"/>
    <w:rsid w:val="008A3BAD"/>
    <w:rsid w:val="008D4161"/>
    <w:rsid w:val="0091109A"/>
    <w:rsid w:val="009611B5"/>
    <w:rsid w:val="0097043F"/>
    <w:rsid w:val="0097479B"/>
    <w:rsid w:val="009759E8"/>
    <w:rsid w:val="0098313A"/>
    <w:rsid w:val="009A46C6"/>
    <w:rsid w:val="009D313F"/>
    <w:rsid w:val="00A11929"/>
    <w:rsid w:val="00A1728D"/>
    <w:rsid w:val="00A174DF"/>
    <w:rsid w:val="00A22C18"/>
    <w:rsid w:val="00A25552"/>
    <w:rsid w:val="00A26E71"/>
    <w:rsid w:val="00A34072"/>
    <w:rsid w:val="00A47DB3"/>
    <w:rsid w:val="00A65122"/>
    <w:rsid w:val="00A65131"/>
    <w:rsid w:val="00A66B37"/>
    <w:rsid w:val="00A66CD5"/>
    <w:rsid w:val="00AA2476"/>
    <w:rsid w:val="00AC2019"/>
    <w:rsid w:val="00AC4196"/>
    <w:rsid w:val="00AD17F4"/>
    <w:rsid w:val="00AF21A9"/>
    <w:rsid w:val="00AF31D0"/>
    <w:rsid w:val="00B01E3B"/>
    <w:rsid w:val="00B02C0F"/>
    <w:rsid w:val="00B52091"/>
    <w:rsid w:val="00B57AB4"/>
    <w:rsid w:val="00B66C0F"/>
    <w:rsid w:val="00B70896"/>
    <w:rsid w:val="00B718D3"/>
    <w:rsid w:val="00BB1B42"/>
    <w:rsid w:val="00BB54F2"/>
    <w:rsid w:val="00BB7F30"/>
    <w:rsid w:val="00BC28B6"/>
    <w:rsid w:val="00BE3BB8"/>
    <w:rsid w:val="00BE60A4"/>
    <w:rsid w:val="00BF29C5"/>
    <w:rsid w:val="00BF7D46"/>
    <w:rsid w:val="00C01BF7"/>
    <w:rsid w:val="00C11A8B"/>
    <w:rsid w:val="00C16AD4"/>
    <w:rsid w:val="00C2794D"/>
    <w:rsid w:val="00C31CDC"/>
    <w:rsid w:val="00C366D1"/>
    <w:rsid w:val="00C8326D"/>
    <w:rsid w:val="00CA558B"/>
    <w:rsid w:val="00CB35D3"/>
    <w:rsid w:val="00CC06D2"/>
    <w:rsid w:val="00CC7715"/>
    <w:rsid w:val="00CD425F"/>
    <w:rsid w:val="00D145EE"/>
    <w:rsid w:val="00D15FDE"/>
    <w:rsid w:val="00D2331A"/>
    <w:rsid w:val="00D37477"/>
    <w:rsid w:val="00D4122A"/>
    <w:rsid w:val="00D52B27"/>
    <w:rsid w:val="00D74173"/>
    <w:rsid w:val="00D971FB"/>
    <w:rsid w:val="00DC39C1"/>
    <w:rsid w:val="00E14248"/>
    <w:rsid w:val="00E14FBC"/>
    <w:rsid w:val="00E303BB"/>
    <w:rsid w:val="00E3323A"/>
    <w:rsid w:val="00E445BA"/>
    <w:rsid w:val="00E510D8"/>
    <w:rsid w:val="00E6067E"/>
    <w:rsid w:val="00EB09C3"/>
    <w:rsid w:val="00EB4EEC"/>
    <w:rsid w:val="00ED02F6"/>
    <w:rsid w:val="00EE3130"/>
    <w:rsid w:val="00EF11C6"/>
    <w:rsid w:val="00EF5BDD"/>
    <w:rsid w:val="00F0210E"/>
    <w:rsid w:val="00F071BA"/>
    <w:rsid w:val="00F1077E"/>
    <w:rsid w:val="00F31D3C"/>
    <w:rsid w:val="00F46052"/>
    <w:rsid w:val="00F46930"/>
    <w:rsid w:val="00F52D68"/>
    <w:rsid w:val="00F56760"/>
    <w:rsid w:val="00F66396"/>
    <w:rsid w:val="00F772F6"/>
    <w:rsid w:val="00F8595A"/>
    <w:rsid w:val="00F9065F"/>
    <w:rsid w:val="00F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1C79F"/>
  <w15:docId w15:val="{2A1FA63A-C7D4-4212-B049-911FB19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9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3">
    <w:name w:val="Body Text 3"/>
    <w:basedOn w:val="Normln"/>
    <w:link w:val="Zkladntext3Char"/>
    <w:rsid w:val="00F46930"/>
    <w:pPr>
      <w:spacing w:line="300" w:lineRule="exact"/>
      <w:jc w:val="both"/>
    </w:pPr>
    <w:rPr>
      <w:rFonts w:ascii="Arial" w:hAnsi="Arial" w:cs="Arial"/>
    </w:rPr>
  </w:style>
  <w:style w:type="character" w:customStyle="1" w:styleId="Zkladntext3Char">
    <w:name w:val="Základní text 3 Char"/>
    <w:basedOn w:val="Standardnpsmoodstavce"/>
    <w:link w:val="Zkladntext3"/>
    <w:rsid w:val="00F46930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4693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F469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F46930"/>
    <w:rPr>
      <w:sz w:val="24"/>
      <w:szCs w:val="24"/>
    </w:rPr>
  </w:style>
  <w:style w:type="paragraph" w:styleId="Textbubliny">
    <w:name w:val="Balloon Text"/>
    <w:basedOn w:val="Normln"/>
    <w:link w:val="TextbublinyChar"/>
    <w:rsid w:val="000977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7782"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rsid w:val="00097782"/>
    <w:pPr>
      <w:tabs>
        <w:tab w:val="num" w:pos="425"/>
      </w:tabs>
      <w:ind w:left="425" w:hanging="425"/>
      <w:jc w:val="both"/>
      <w:outlineLvl w:val="8"/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BB54F2"/>
    <w:rPr>
      <w:sz w:val="24"/>
      <w:szCs w:val="24"/>
    </w:rPr>
  </w:style>
  <w:style w:type="paragraph" w:styleId="Normlnweb">
    <w:name w:val="Normal (Web)"/>
    <w:basedOn w:val="Normln"/>
    <w:uiPriority w:val="99"/>
    <w:rsid w:val="00BB54F2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460C4D"/>
  </w:style>
  <w:style w:type="character" w:styleId="Odkaznakoment">
    <w:name w:val="annotation reference"/>
    <w:basedOn w:val="Standardnpsmoodstavce"/>
    <w:rsid w:val="00095DF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95DF7"/>
  </w:style>
  <w:style w:type="character" w:customStyle="1" w:styleId="TextkomenteChar">
    <w:name w:val="Text komentáře Char"/>
    <w:basedOn w:val="Standardnpsmoodstavce"/>
    <w:link w:val="Textkomente"/>
    <w:rsid w:val="00095D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095DF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95DF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hlav.dot</Template>
  <TotalTime>62</TotalTime>
  <Pages>3</Pages>
  <Words>484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S-Invest CZ s.r.o.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Fraňková Hana</cp:lastModifiedBy>
  <cp:revision>23</cp:revision>
  <cp:lastPrinted>2024-09-24T09:02:00Z</cp:lastPrinted>
  <dcterms:created xsi:type="dcterms:W3CDTF">2017-08-03T07:20:00Z</dcterms:created>
  <dcterms:modified xsi:type="dcterms:W3CDTF">2024-09-24T10:07:00Z</dcterms:modified>
</cp:coreProperties>
</file>