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134E" w14:textId="77777777" w:rsidR="00F47935" w:rsidRDefault="00F47935" w:rsidP="00F47935">
      <w:pPr>
        <w:ind w:right="10"/>
        <w:jc w:val="center"/>
        <w:rPr>
          <w:rFonts w:ascii="Palatino Linotype" w:hAnsi="Palatino Linotype" w:cs="Arial"/>
          <w:sz w:val="22"/>
          <w:szCs w:val="22"/>
          <w:lang w:eastAsia="ar-SA"/>
        </w:rPr>
      </w:pPr>
    </w:p>
    <w:p w14:paraId="6C5E4D82" w14:textId="77777777" w:rsidR="00F47935" w:rsidRDefault="00F47935" w:rsidP="00F47935">
      <w:pPr>
        <w:ind w:right="10"/>
        <w:jc w:val="center"/>
        <w:rPr>
          <w:rFonts w:ascii="Palatino Linotype" w:hAnsi="Palatino Linotype" w:cs="Arial"/>
          <w:sz w:val="22"/>
          <w:szCs w:val="22"/>
          <w:lang w:eastAsia="ar-SA"/>
        </w:rPr>
      </w:pPr>
    </w:p>
    <w:p w14:paraId="78D05A93" w14:textId="77777777" w:rsidR="00F47935" w:rsidRDefault="00F47935" w:rsidP="00F47935">
      <w:pPr>
        <w:ind w:right="10"/>
        <w:jc w:val="center"/>
        <w:rPr>
          <w:rFonts w:ascii="Palatino Linotype" w:hAnsi="Palatino Linotype" w:cs="Arial"/>
          <w:sz w:val="22"/>
          <w:szCs w:val="22"/>
          <w:lang w:eastAsia="ar-SA"/>
        </w:rPr>
      </w:pPr>
    </w:p>
    <w:p w14:paraId="6C2FBE66" w14:textId="77777777" w:rsidR="00F47935" w:rsidRDefault="00F47935" w:rsidP="00F47935">
      <w:pPr>
        <w:ind w:right="10"/>
        <w:jc w:val="center"/>
        <w:rPr>
          <w:rFonts w:ascii="Palatino Linotype" w:hAnsi="Palatino Linotype" w:cs="Arial"/>
          <w:sz w:val="22"/>
          <w:szCs w:val="22"/>
          <w:lang w:eastAsia="ar-SA"/>
        </w:rPr>
      </w:pPr>
    </w:p>
    <w:p w14:paraId="7EA838C6" w14:textId="6B5DCDEF" w:rsidR="00F47935" w:rsidRDefault="00F47935" w:rsidP="004F5472">
      <w:pPr>
        <w:ind w:right="11"/>
        <w:jc w:val="center"/>
        <w:rPr>
          <w:rFonts w:ascii="Palatino Linotype" w:hAnsi="Palatino Linotype" w:cs="Arial"/>
          <w:b/>
          <w:sz w:val="36"/>
          <w:szCs w:val="36"/>
          <w:lang w:eastAsia="ar-SA"/>
        </w:rPr>
      </w:pPr>
      <w:r>
        <w:rPr>
          <w:rFonts w:ascii="Palatino Linotype" w:hAnsi="Palatino Linotype" w:cs="Arial"/>
          <w:b/>
          <w:sz w:val="36"/>
          <w:szCs w:val="36"/>
          <w:lang w:eastAsia="ar-SA"/>
        </w:rPr>
        <w:t>Obchodní podmínky</w:t>
      </w:r>
    </w:p>
    <w:p w14:paraId="08B23619" w14:textId="37D222B1" w:rsidR="004F5472" w:rsidRDefault="004F5472" w:rsidP="00F47935">
      <w:pPr>
        <w:ind w:right="10"/>
        <w:jc w:val="center"/>
        <w:rPr>
          <w:rFonts w:ascii="Palatino Linotype" w:hAnsi="Palatino Linotype" w:cs="Arial"/>
          <w:b/>
          <w:sz w:val="36"/>
          <w:szCs w:val="36"/>
          <w:lang w:eastAsia="ar-SA"/>
        </w:rPr>
      </w:pPr>
    </w:p>
    <w:p w14:paraId="1389B054" w14:textId="20190DDE" w:rsidR="004F5472" w:rsidRDefault="004F5472" w:rsidP="004F5472">
      <w:pPr>
        <w:ind w:right="11"/>
        <w:jc w:val="center"/>
        <w:rPr>
          <w:rFonts w:ascii="Palatino Linotype" w:hAnsi="Palatino Linotype" w:cs="Arial"/>
          <w:b/>
          <w:sz w:val="36"/>
          <w:szCs w:val="36"/>
          <w:lang w:eastAsia="ar-SA"/>
        </w:rPr>
      </w:pPr>
      <w:r>
        <w:rPr>
          <w:rFonts w:ascii="Palatino Linotype" w:hAnsi="Palatino Linotype" w:cs="Arial"/>
          <w:b/>
          <w:sz w:val="36"/>
          <w:szCs w:val="36"/>
          <w:lang w:eastAsia="ar-SA"/>
        </w:rPr>
        <w:t>pro</w:t>
      </w:r>
    </w:p>
    <w:p w14:paraId="16970F86" w14:textId="77777777" w:rsidR="00F47935" w:rsidRDefault="00F47935" w:rsidP="00F47935">
      <w:pPr>
        <w:ind w:right="10"/>
        <w:jc w:val="center"/>
        <w:rPr>
          <w:rFonts w:ascii="Palatino Linotype" w:hAnsi="Palatino Linotype" w:cs="Arial"/>
          <w:b/>
          <w:sz w:val="36"/>
          <w:szCs w:val="36"/>
          <w:lang w:eastAsia="ar-SA"/>
        </w:rPr>
      </w:pPr>
    </w:p>
    <w:p w14:paraId="49A3A4D2" w14:textId="36D83C42" w:rsidR="00F47935" w:rsidRDefault="004F5472" w:rsidP="00316926">
      <w:pPr>
        <w:ind w:right="10"/>
        <w:jc w:val="center"/>
        <w:rPr>
          <w:rFonts w:ascii="Palatino Linotype" w:hAnsi="Palatino Linotype" w:cs="Arial"/>
          <w:b/>
          <w:sz w:val="32"/>
          <w:szCs w:val="32"/>
          <w:lang w:eastAsia="ar-SA"/>
        </w:rPr>
      </w:pPr>
      <w:r>
        <w:rPr>
          <w:rFonts w:ascii="Palatino Linotype" w:hAnsi="Palatino Linotype" w:cs="Arial"/>
          <w:b/>
          <w:sz w:val="32"/>
          <w:szCs w:val="32"/>
          <w:lang w:eastAsia="ar-SA"/>
        </w:rPr>
        <w:t>p</w:t>
      </w:r>
      <w:r w:rsidR="00F47935">
        <w:rPr>
          <w:rFonts w:ascii="Palatino Linotype" w:hAnsi="Palatino Linotype" w:cs="Arial"/>
          <w:b/>
          <w:sz w:val="32"/>
          <w:szCs w:val="32"/>
          <w:lang w:eastAsia="ar-SA"/>
        </w:rPr>
        <w:t>ojištění odpovědnosti za újmu způsobenou provozem vozidla</w:t>
      </w:r>
      <w:r w:rsidR="00C81389">
        <w:rPr>
          <w:rFonts w:ascii="Palatino Linotype" w:hAnsi="Palatino Linotype" w:cs="Arial"/>
          <w:b/>
          <w:sz w:val="32"/>
          <w:szCs w:val="32"/>
          <w:lang w:eastAsia="ar-SA"/>
        </w:rPr>
        <w:t>,</w:t>
      </w:r>
      <w:r w:rsidR="00F47935">
        <w:rPr>
          <w:rFonts w:ascii="Palatino Linotype" w:hAnsi="Palatino Linotype" w:cs="Arial"/>
          <w:b/>
          <w:sz w:val="32"/>
          <w:szCs w:val="32"/>
          <w:lang w:eastAsia="ar-SA"/>
        </w:rPr>
        <w:t xml:space="preserve"> havarijní a doplňková pojištění </w:t>
      </w:r>
    </w:p>
    <w:p w14:paraId="25F6E8FA" w14:textId="4F056C2D" w:rsidR="00F47935" w:rsidRPr="008E10A6" w:rsidRDefault="00F47935" w:rsidP="008E10A6">
      <w:pPr>
        <w:ind w:right="10"/>
        <w:jc w:val="center"/>
        <w:rPr>
          <w:rFonts w:ascii="Palatino Linotype" w:hAnsi="Palatino Linotype" w:cs="Arial"/>
          <w:b/>
          <w:sz w:val="32"/>
          <w:szCs w:val="32"/>
          <w:lang w:eastAsia="ar-SA"/>
        </w:rPr>
      </w:pPr>
    </w:p>
    <w:p w14:paraId="0C548CC0" w14:textId="77777777" w:rsidR="00F47935" w:rsidRDefault="00F47935" w:rsidP="00F47935">
      <w:pPr>
        <w:ind w:right="10"/>
        <w:jc w:val="center"/>
        <w:rPr>
          <w:rFonts w:ascii="Palatino Linotype" w:hAnsi="Palatino Linotype" w:cs="Arial"/>
          <w:sz w:val="22"/>
          <w:szCs w:val="22"/>
          <w:lang w:eastAsia="ar-SA"/>
        </w:rPr>
      </w:pPr>
    </w:p>
    <w:p w14:paraId="53E5E40E" w14:textId="62181EE3" w:rsidR="0045256F" w:rsidRPr="007D4A0B" w:rsidRDefault="0045256F" w:rsidP="0045256F">
      <w:pPr>
        <w:tabs>
          <w:tab w:val="left" w:pos="709"/>
        </w:tabs>
        <w:suppressAutoHyphens/>
        <w:spacing w:before="80"/>
        <w:ind w:left="709" w:hanging="709"/>
        <w:rPr>
          <w:rFonts w:ascii="Palatino Linotype" w:hAnsi="Palatino Linotype" w:cs="Arial"/>
          <w:sz w:val="22"/>
          <w:szCs w:val="22"/>
          <w:u w:val="single"/>
          <w:lang w:eastAsia="ar-SA"/>
        </w:rPr>
      </w:pPr>
      <w:r w:rsidRPr="007D4A0B">
        <w:rPr>
          <w:rFonts w:ascii="Palatino Linotype" w:hAnsi="Palatino Linotype" w:cs="Arial"/>
          <w:sz w:val="22"/>
          <w:szCs w:val="22"/>
          <w:u w:val="single"/>
          <w:lang w:eastAsia="ar-SA"/>
        </w:rPr>
        <w:t>Pojistníkem a zároveň pojištěným je:</w:t>
      </w:r>
    </w:p>
    <w:p w14:paraId="356AE19A" w14:textId="77777777" w:rsidR="0045256F" w:rsidRPr="007D4A0B" w:rsidRDefault="0045256F" w:rsidP="0045256F">
      <w:pPr>
        <w:widowControl w:val="0"/>
        <w:tabs>
          <w:tab w:val="left" w:pos="1260"/>
          <w:tab w:val="left" w:pos="2520"/>
        </w:tabs>
        <w:suppressAutoHyphens/>
        <w:ind w:left="720"/>
        <w:rPr>
          <w:rFonts w:ascii="Palatino Linotype" w:hAnsi="Palatino Linotype" w:cs="Arial"/>
          <w:sz w:val="22"/>
          <w:szCs w:val="22"/>
          <w:lang w:eastAsia="ar-SA"/>
        </w:rPr>
      </w:pPr>
      <w:r w:rsidRPr="007D4A0B">
        <w:rPr>
          <w:rFonts w:ascii="Palatino Linotype" w:hAnsi="Palatino Linotype" w:cs="Arial"/>
          <w:sz w:val="22"/>
          <w:szCs w:val="22"/>
          <w:lang w:eastAsia="ar-SA"/>
        </w:rPr>
        <w:tab/>
      </w:r>
    </w:p>
    <w:p w14:paraId="132F129E" w14:textId="4FD06D00" w:rsidR="00316926" w:rsidRPr="00FF0A21" w:rsidRDefault="00FF0A21" w:rsidP="00316926">
      <w:pPr>
        <w:tabs>
          <w:tab w:val="clear" w:pos="851"/>
        </w:tabs>
        <w:suppressAutoHyphens/>
        <w:ind w:left="710" w:firstLine="141"/>
        <w:jc w:val="left"/>
        <w:rPr>
          <w:rFonts w:ascii="Palatino Linotype" w:hAnsi="Palatino Linotype"/>
          <w:bCs/>
          <w:sz w:val="22"/>
          <w:szCs w:val="22"/>
        </w:rPr>
      </w:pPr>
      <w:r w:rsidRPr="00FF0A21">
        <w:rPr>
          <w:rFonts w:ascii="Palatino Linotype" w:hAnsi="Palatino Linotype"/>
          <w:bCs/>
          <w:sz w:val="22"/>
          <w:szCs w:val="22"/>
        </w:rPr>
        <w:t>Statutární město Opava</w:t>
      </w:r>
    </w:p>
    <w:p w14:paraId="0FE9E688" w14:textId="2E5FF012" w:rsidR="00316926" w:rsidRPr="00FF0A21" w:rsidRDefault="00FF0A21" w:rsidP="00316926">
      <w:pPr>
        <w:tabs>
          <w:tab w:val="clear" w:pos="851"/>
        </w:tabs>
        <w:suppressAutoHyphens/>
        <w:ind w:left="710" w:firstLine="141"/>
        <w:jc w:val="left"/>
        <w:rPr>
          <w:rFonts w:ascii="Palatino Linotype" w:hAnsi="Palatino Linotype"/>
          <w:bCs/>
          <w:sz w:val="22"/>
          <w:szCs w:val="22"/>
        </w:rPr>
      </w:pPr>
      <w:r w:rsidRPr="00FF0A21">
        <w:rPr>
          <w:rFonts w:ascii="Palatino Linotype" w:hAnsi="Palatino Linotype"/>
          <w:bCs/>
          <w:sz w:val="22"/>
          <w:szCs w:val="22"/>
        </w:rPr>
        <w:t>Horní náměstí 69</w:t>
      </w:r>
    </w:p>
    <w:p w14:paraId="1B3DAC8D" w14:textId="22B67965" w:rsidR="00316926" w:rsidRPr="00FF0A21" w:rsidRDefault="00316926" w:rsidP="00316926">
      <w:pPr>
        <w:tabs>
          <w:tab w:val="clear" w:pos="851"/>
        </w:tabs>
        <w:suppressAutoHyphens/>
        <w:ind w:left="710" w:firstLine="141"/>
        <w:jc w:val="left"/>
        <w:rPr>
          <w:rFonts w:ascii="Palatino Linotype" w:hAnsi="Palatino Linotype"/>
          <w:bCs/>
          <w:sz w:val="22"/>
          <w:szCs w:val="22"/>
        </w:rPr>
      </w:pPr>
      <w:r w:rsidRPr="00FF0A21">
        <w:rPr>
          <w:rFonts w:ascii="Palatino Linotype" w:hAnsi="Palatino Linotype"/>
          <w:bCs/>
          <w:sz w:val="22"/>
          <w:szCs w:val="22"/>
        </w:rPr>
        <w:t>IČ:</w:t>
      </w:r>
      <w:r w:rsidR="00FF0A21" w:rsidRPr="00FF0A21">
        <w:rPr>
          <w:rFonts w:ascii="Palatino Linotype" w:hAnsi="Palatino Linotype"/>
          <w:bCs/>
          <w:sz w:val="22"/>
          <w:szCs w:val="22"/>
        </w:rPr>
        <w:t xml:space="preserve"> 00300535</w:t>
      </w:r>
    </w:p>
    <w:p w14:paraId="36547BA4" w14:textId="2DE3F8F7" w:rsidR="00316926" w:rsidRPr="00FF0A21" w:rsidRDefault="00316926" w:rsidP="00316926">
      <w:pPr>
        <w:tabs>
          <w:tab w:val="clear" w:pos="851"/>
        </w:tabs>
        <w:suppressAutoHyphens/>
        <w:ind w:left="710" w:firstLine="141"/>
        <w:jc w:val="left"/>
        <w:rPr>
          <w:rFonts w:ascii="Palatino Linotype" w:hAnsi="Palatino Linotype"/>
          <w:bCs/>
          <w:sz w:val="22"/>
          <w:szCs w:val="22"/>
        </w:rPr>
      </w:pPr>
      <w:r w:rsidRPr="00FF0A21">
        <w:rPr>
          <w:rFonts w:ascii="Palatino Linotype" w:hAnsi="Palatino Linotype"/>
          <w:bCs/>
          <w:sz w:val="22"/>
          <w:szCs w:val="22"/>
        </w:rPr>
        <w:t>DIČ:</w:t>
      </w:r>
      <w:r w:rsidR="00FF0A21" w:rsidRPr="00FF0A21">
        <w:rPr>
          <w:rFonts w:ascii="Palatino Linotype" w:hAnsi="Palatino Linotype"/>
          <w:bCs/>
          <w:sz w:val="22"/>
          <w:szCs w:val="22"/>
        </w:rPr>
        <w:t xml:space="preserve"> CZ00300535</w:t>
      </w:r>
    </w:p>
    <w:p w14:paraId="4434CC9C" w14:textId="389A674C" w:rsidR="00DD4195" w:rsidRDefault="00DD4195" w:rsidP="00316926">
      <w:pPr>
        <w:tabs>
          <w:tab w:val="clear" w:pos="851"/>
        </w:tabs>
        <w:suppressAutoHyphens/>
        <w:ind w:left="710" w:firstLine="141"/>
        <w:jc w:val="left"/>
        <w:rPr>
          <w:rFonts w:ascii="Palatino Linotype" w:hAnsi="Palatino Linotype"/>
          <w:bCs/>
          <w:sz w:val="22"/>
          <w:szCs w:val="22"/>
        </w:rPr>
      </w:pPr>
    </w:p>
    <w:p w14:paraId="64FB790A" w14:textId="097A35AC" w:rsidR="00A7087B" w:rsidRPr="00F47935" w:rsidRDefault="00A7087B" w:rsidP="00CC1738">
      <w:pPr>
        <w:pStyle w:val="Nadpis1"/>
        <w:rPr>
          <w:rFonts w:ascii="Palatino Linotype" w:hAnsi="Palatino Linotype"/>
        </w:rPr>
      </w:pPr>
      <w:r w:rsidRPr="00F47935">
        <w:rPr>
          <w:rFonts w:ascii="Palatino Linotype" w:hAnsi="Palatino Linotype"/>
        </w:rPr>
        <w:t xml:space="preserve">POJIŠTĚNÍ ODPOVĚDNOSTI </w:t>
      </w:r>
      <w:r w:rsidR="008C1BBD" w:rsidRPr="00F47935">
        <w:rPr>
          <w:rFonts w:ascii="Palatino Linotype" w:hAnsi="Palatino Linotype"/>
        </w:rPr>
        <w:t>z provozu vozidla</w:t>
      </w:r>
    </w:p>
    <w:p w14:paraId="1E5F73F0" w14:textId="77777777" w:rsidR="00A7087B" w:rsidRPr="00F47935" w:rsidRDefault="00A7087B" w:rsidP="00925438">
      <w:pPr>
        <w:pStyle w:val="Nadpis2"/>
        <w:tabs>
          <w:tab w:val="clear" w:pos="1135"/>
          <w:tab w:val="num" w:pos="1560"/>
        </w:tabs>
        <w:ind w:left="851" w:hanging="567"/>
        <w:rPr>
          <w:rFonts w:ascii="Palatino Linotype" w:hAnsi="Palatino Linotype" w:cs="Arial"/>
          <w:szCs w:val="22"/>
        </w:rPr>
      </w:pPr>
      <w:r w:rsidRPr="00F47935">
        <w:rPr>
          <w:rFonts w:ascii="Palatino Linotype" w:hAnsi="Palatino Linotype" w:cs="Arial"/>
          <w:szCs w:val="22"/>
        </w:rPr>
        <w:t>Rozsah pojištění</w:t>
      </w:r>
    </w:p>
    <w:p w14:paraId="28484F4B" w14:textId="1CE3FC4A" w:rsidR="00607C02" w:rsidRPr="00F47935" w:rsidRDefault="00A7087B" w:rsidP="008F5649">
      <w:pPr>
        <w:rPr>
          <w:rFonts w:ascii="Palatino Linotype" w:hAnsi="Palatino Linotype" w:cs="Arial"/>
          <w:sz w:val="22"/>
          <w:szCs w:val="22"/>
        </w:rPr>
      </w:pPr>
      <w:r w:rsidRPr="00F47935">
        <w:rPr>
          <w:rFonts w:ascii="Palatino Linotype" w:hAnsi="Palatino Linotype" w:cs="Arial"/>
          <w:sz w:val="22"/>
          <w:szCs w:val="22"/>
        </w:rPr>
        <w:t xml:space="preserve">Dle </w:t>
      </w:r>
      <w:r w:rsidR="008F5649" w:rsidRPr="00F47935">
        <w:rPr>
          <w:rFonts w:ascii="Palatino Linotype" w:hAnsi="Palatino Linotype" w:cs="Arial"/>
          <w:sz w:val="22"/>
          <w:szCs w:val="22"/>
        </w:rPr>
        <w:t xml:space="preserve">platného zákona o pojištění odpovědnosti </w:t>
      </w:r>
      <w:r w:rsidR="00A24C94" w:rsidRPr="00F47935">
        <w:rPr>
          <w:rFonts w:ascii="Palatino Linotype" w:hAnsi="Palatino Linotype" w:cs="Arial"/>
          <w:sz w:val="22"/>
          <w:szCs w:val="22"/>
        </w:rPr>
        <w:t>z provozu vozidla</w:t>
      </w:r>
      <w:r w:rsidR="008F5649" w:rsidRPr="00F47935">
        <w:rPr>
          <w:rFonts w:ascii="Palatino Linotype" w:hAnsi="Palatino Linotype" w:cs="Arial"/>
          <w:sz w:val="22"/>
          <w:szCs w:val="22"/>
        </w:rPr>
        <w:t xml:space="preserve"> </w:t>
      </w:r>
      <w:r w:rsidR="00A24C94" w:rsidRPr="00F47935">
        <w:rPr>
          <w:rFonts w:ascii="Palatino Linotype" w:hAnsi="Palatino Linotype" w:cs="Arial"/>
          <w:sz w:val="22"/>
          <w:szCs w:val="22"/>
        </w:rPr>
        <w:t xml:space="preserve">(dále jen ZPOV) </w:t>
      </w:r>
      <w:r w:rsidR="008F5649" w:rsidRPr="00F47935">
        <w:rPr>
          <w:rFonts w:ascii="Palatino Linotype" w:hAnsi="Palatino Linotype" w:cs="Arial"/>
          <w:sz w:val="22"/>
          <w:szCs w:val="22"/>
        </w:rPr>
        <w:t>a Občanského zákoníku.</w:t>
      </w:r>
    </w:p>
    <w:p w14:paraId="7916B1F4" w14:textId="77777777" w:rsidR="00A7087B" w:rsidRPr="00F47935" w:rsidRDefault="00A7087B" w:rsidP="00B534B7">
      <w:pPr>
        <w:rPr>
          <w:rFonts w:ascii="Palatino Linotype" w:hAnsi="Palatino Linotype" w:cs="Arial"/>
          <w:sz w:val="22"/>
          <w:szCs w:val="22"/>
        </w:rPr>
      </w:pPr>
    </w:p>
    <w:p w14:paraId="76B5E94E" w14:textId="77777777" w:rsidR="00A7087B" w:rsidRPr="00F47935" w:rsidRDefault="00A7087B" w:rsidP="00925438">
      <w:pPr>
        <w:pStyle w:val="Nadpis2"/>
        <w:tabs>
          <w:tab w:val="clear" w:pos="1135"/>
          <w:tab w:val="num" w:pos="1418"/>
        </w:tabs>
        <w:ind w:left="851" w:hanging="567"/>
        <w:rPr>
          <w:rFonts w:ascii="Palatino Linotype" w:hAnsi="Palatino Linotype" w:cs="Arial"/>
          <w:szCs w:val="22"/>
        </w:rPr>
      </w:pPr>
      <w:r w:rsidRPr="00F47935">
        <w:rPr>
          <w:rFonts w:ascii="Palatino Linotype" w:hAnsi="Palatino Linotype" w:cs="Arial"/>
          <w:szCs w:val="22"/>
        </w:rPr>
        <w:t>Předmět pojištění</w:t>
      </w:r>
    </w:p>
    <w:p w14:paraId="73A57CD0" w14:textId="4BBB7CA4" w:rsidR="00A7087B" w:rsidRPr="00F47935" w:rsidRDefault="002A1DA2" w:rsidP="00B534B7">
      <w:pPr>
        <w:rPr>
          <w:rFonts w:ascii="Palatino Linotype" w:hAnsi="Palatino Linotype" w:cs="Arial"/>
          <w:sz w:val="22"/>
          <w:szCs w:val="22"/>
        </w:rPr>
      </w:pPr>
      <w:r w:rsidRPr="00F47935">
        <w:rPr>
          <w:rFonts w:ascii="Palatino Linotype" w:hAnsi="Palatino Linotype" w:cs="Arial"/>
          <w:sz w:val="22"/>
          <w:szCs w:val="22"/>
        </w:rPr>
        <w:t xml:space="preserve">Právním předpisem stanovená povinnost nahradit újmu způsobenou jinému provozem vozidla uvedeného v Příloze </w:t>
      </w:r>
      <w:r w:rsidRPr="00CC2E51">
        <w:rPr>
          <w:rFonts w:ascii="Palatino Linotype" w:hAnsi="Palatino Linotype" w:cs="Arial"/>
          <w:sz w:val="22"/>
          <w:szCs w:val="22"/>
        </w:rPr>
        <w:t>č. 1</w:t>
      </w:r>
      <w:r w:rsidRPr="00F47935">
        <w:rPr>
          <w:rFonts w:ascii="Palatino Linotype" w:hAnsi="Palatino Linotype" w:cs="Arial"/>
          <w:sz w:val="22"/>
          <w:szCs w:val="22"/>
        </w:rPr>
        <w:t xml:space="preserve"> těchto obchodních podmínek.</w:t>
      </w:r>
    </w:p>
    <w:p w14:paraId="72A9876D" w14:textId="77777777" w:rsidR="007827F3" w:rsidRPr="00F47935" w:rsidRDefault="007827F3" w:rsidP="00B534B7">
      <w:pPr>
        <w:rPr>
          <w:rFonts w:ascii="Palatino Linotype" w:hAnsi="Palatino Linotype" w:cs="Arial"/>
          <w:sz w:val="22"/>
          <w:szCs w:val="22"/>
        </w:rPr>
      </w:pPr>
    </w:p>
    <w:p w14:paraId="2EB21FB7" w14:textId="77777777" w:rsidR="00A7087B" w:rsidRPr="00F47935" w:rsidRDefault="00A7087B" w:rsidP="00925438">
      <w:pPr>
        <w:pStyle w:val="Nadpis2"/>
        <w:tabs>
          <w:tab w:val="clear" w:pos="1135"/>
          <w:tab w:val="num" w:pos="1701"/>
        </w:tabs>
        <w:ind w:left="851" w:hanging="567"/>
        <w:rPr>
          <w:rFonts w:ascii="Palatino Linotype" w:hAnsi="Palatino Linotype" w:cs="Arial"/>
          <w:szCs w:val="22"/>
        </w:rPr>
      </w:pPr>
      <w:bookmarkStart w:id="0" w:name="_Hlk38878257"/>
      <w:r w:rsidRPr="00F47935">
        <w:rPr>
          <w:rFonts w:ascii="Palatino Linotype" w:hAnsi="Palatino Linotype" w:cs="Arial"/>
          <w:szCs w:val="22"/>
        </w:rPr>
        <w:t>Limity pojistného plnění</w:t>
      </w:r>
    </w:p>
    <w:p w14:paraId="0277758B" w14:textId="076270CD" w:rsidR="00A7087B" w:rsidRPr="007701E2" w:rsidRDefault="00A7087B" w:rsidP="00B534B7">
      <w:pPr>
        <w:rPr>
          <w:rFonts w:ascii="Palatino Linotype" w:hAnsi="Palatino Linotype" w:cs="Arial"/>
          <w:sz w:val="22"/>
          <w:szCs w:val="22"/>
        </w:rPr>
      </w:pPr>
      <w:r w:rsidRPr="007701E2">
        <w:rPr>
          <w:rFonts w:ascii="Palatino Linotype" w:hAnsi="Palatino Linotype" w:cs="Arial"/>
          <w:sz w:val="22"/>
          <w:szCs w:val="22"/>
        </w:rPr>
        <w:t>Minimální limity pojistného plnění:</w:t>
      </w:r>
    </w:p>
    <w:p w14:paraId="37B6F664" w14:textId="7DC6A778" w:rsidR="008C0451" w:rsidRPr="007701E2" w:rsidRDefault="008C0451" w:rsidP="00B534B7">
      <w:pPr>
        <w:rPr>
          <w:rFonts w:ascii="Palatino Linotype" w:hAnsi="Palatino Linotype" w:cs="Arial"/>
          <w:sz w:val="22"/>
          <w:szCs w:val="22"/>
        </w:rPr>
      </w:pPr>
      <w:r w:rsidRPr="007701E2">
        <w:rPr>
          <w:rFonts w:ascii="Palatino Linotype" w:hAnsi="Palatino Linotype" w:cs="Arial"/>
          <w:sz w:val="22"/>
          <w:szCs w:val="22"/>
        </w:rPr>
        <w:t xml:space="preserve">a) při újmě </w:t>
      </w:r>
      <w:r w:rsidR="00721C8C" w:rsidRPr="007701E2">
        <w:rPr>
          <w:rFonts w:ascii="Palatino Linotype" w:hAnsi="Palatino Linotype" w:cs="Arial"/>
          <w:sz w:val="22"/>
          <w:szCs w:val="22"/>
        </w:rPr>
        <w:t>na zdraví nebo způsobené usmrcením</w:t>
      </w:r>
      <w:r w:rsidRPr="007701E2">
        <w:rPr>
          <w:rFonts w:ascii="Palatino Linotype" w:hAnsi="Palatino Linotype" w:cs="Arial"/>
          <w:sz w:val="22"/>
          <w:szCs w:val="22"/>
        </w:rPr>
        <w:t xml:space="preserve"> nejméně </w:t>
      </w:r>
      <w:r w:rsidRPr="000D2364">
        <w:rPr>
          <w:rFonts w:ascii="Palatino Linotype" w:hAnsi="Palatino Linotype" w:cs="Arial"/>
          <w:sz w:val="22"/>
          <w:szCs w:val="22"/>
        </w:rPr>
        <w:t xml:space="preserve">100 000 000 </w:t>
      </w:r>
      <w:r w:rsidRPr="007701E2">
        <w:rPr>
          <w:rFonts w:ascii="Palatino Linotype" w:hAnsi="Palatino Linotype" w:cs="Arial"/>
          <w:sz w:val="22"/>
          <w:szCs w:val="22"/>
        </w:rPr>
        <w:t xml:space="preserve">Kč na </w:t>
      </w:r>
      <w:r w:rsidR="00721C8C" w:rsidRPr="007701E2">
        <w:rPr>
          <w:rFonts w:ascii="Palatino Linotype" w:hAnsi="Palatino Linotype" w:cs="Arial"/>
          <w:sz w:val="22"/>
          <w:szCs w:val="22"/>
        </w:rPr>
        <w:t>každou osobu, které vznikla újma ublížením na zdraví nebo usmrcením</w:t>
      </w:r>
      <w:r w:rsidR="00941FCA" w:rsidRPr="007701E2">
        <w:rPr>
          <w:rFonts w:ascii="Palatino Linotype" w:hAnsi="Palatino Linotype" w:cs="Arial"/>
          <w:sz w:val="22"/>
          <w:szCs w:val="22"/>
        </w:rPr>
        <w:t>.</w:t>
      </w:r>
      <w:r w:rsidR="00721C8C" w:rsidRPr="007701E2">
        <w:rPr>
          <w:rFonts w:ascii="Palatino Linotype" w:hAnsi="Palatino Linotype" w:cs="Arial"/>
          <w:sz w:val="22"/>
          <w:szCs w:val="22"/>
        </w:rPr>
        <w:t xml:space="preserve"> </w:t>
      </w:r>
    </w:p>
    <w:p w14:paraId="65AE5BAC" w14:textId="1F824577" w:rsidR="00A7087B" w:rsidRPr="00F47935" w:rsidRDefault="008C0451" w:rsidP="00701B6F">
      <w:pPr>
        <w:rPr>
          <w:rFonts w:ascii="Palatino Linotype" w:hAnsi="Palatino Linotype" w:cs="Arial"/>
          <w:sz w:val="22"/>
          <w:szCs w:val="22"/>
        </w:rPr>
      </w:pPr>
      <w:r w:rsidRPr="007701E2">
        <w:rPr>
          <w:rFonts w:ascii="Palatino Linotype" w:hAnsi="Palatino Linotype" w:cs="Arial"/>
          <w:sz w:val="22"/>
          <w:szCs w:val="22"/>
        </w:rPr>
        <w:t xml:space="preserve">b) při </w:t>
      </w:r>
      <w:r w:rsidR="00C712B5" w:rsidRPr="007701E2">
        <w:rPr>
          <w:rFonts w:ascii="Palatino Linotype" w:hAnsi="Palatino Linotype" w:cs="Arial"/>
          <w:sz w:val="22"/>
          <w:szCs w:val="22"/>
        </w:rPr>
        <w:t>škodě na majetku</w:t>
      </w:r>
      <w:r w:rsidRPr="007701E2">
        <w:rPr>
          <w:rFonts w:ascii="Palatino Linotype" w:hAnsi="Palatino Linotype" w:cs="Arial"/>
          <w:sz w:val="22"/>
          <w:szCs w:val="22"/>
        </w:rPr>
        <w:t xml:space="preserve"> nejméně </w:t>
      </w:r>
      <w:r w:rsidRPr="000D2364">
        <w:rPr>
          <w:rFonts w:ascii="Palatino Linotype" w:hAnsi="Palatino Linotype" w:cs="Arial"/>
          <w:sz w:val="22"/>
          <w:szCs w:val="22"/>
        </w:rPr>
        <w:t xml:space="preserve">100 000 000 </w:t>
      </w:r>
      <w:r w:rsidRPr="007701E2">
        <w:rPr>
          <w:rFonts w:ascii="Palatino Linotype" w:hAnsi="Palatino Linotype" w:cs="Arial"/>
          <w:sz w:val="22"/>
          <w:szCs w:val="22"/>
        </w:rPr>
        <w:t>Kč bez ohledu na počet poškozených</w:t>
      </w:r>
      <w:r w:rsidR="00941FCA" w:rsidRPr="007701E2">
        <w:rPr>
          <w:rFonts w:ascii="Palatino Linotype" w:hAnsi="Palatino Linotype" w:cs="Arial"/>
          <w:sz w:val="22"/>
          <w:szCs w:val="22"/>
        </w:rPr>
        <w:t>.</w:t>
      </w:r>
      <w:bookmarkEnd w:id="0"/>
    </w:p>
    <w:p w14:paraId="41276CC0" w14:textId="77777777" w:rsidR="00701B6F" w:rsidRPr="00F47935" w:rsidRDefault="00701B6F" w:rsidP="00701B6F">
      <w:pPr>
        <w:rPr>
          <w:rFonts w:ascii="Palatino Linotype" w:hAnsi="Palatino Linotype" w:cs="Arial"/>
          <w:sz w:val="22"/>
          <w:szCs w:val="22"/>
        </w:rPr>
      </w:pPr>
    </w:p>
    <w:p w14:paraId="6CFFC786" w14:textId="77777777" w:rsidR="00A7087B" w:rsidRPr="00F47935" w:rsidRDefault="00A7087B" w:rsidP="00925438">
      <w:pPr>
        <w:pStyle w:val="Nadpis2"/>
        <w:tabs>
          <w:tab w:val="clear" w:pos="1135"/>
          <w:tab w:val="num" w:pos="1418"/>
        </w:tabs>
        <w:ind w:left="851" w:hanging="567"/>
        <w:rPr>
          <w:rFonts w:ascii="Palatino Linotype" w:hAnsi="Palatino Linotype" w:cs="Arial"/>
          <w:szCs w:val="22"/>
        </w:rPr>
      </w:pPr>
      <w:bookmarkStart w:id="1" w:name="_Toc182663646"/>
      <w:bookmarkStart w:id="2" w:name="_Toc247333919"/>
      <w:r w:rsidRPr="00F47935">
        <w:rPr>
          <w:rFonts w:ascii="Palatino Linotype" w:hAnsi="Palatino Linotype" w:cs="Arial"/>
          <w:szCs w:val="22"/>
        </w:rPr>
        <w:t>Územní platnost</w:t>
      </w:r>
      <w:bookmarkEnd w:id="1"/>
      <w:bookmarkEnd w:id="2"/>
    </w:p>
    <w:p w14:paraId="173C843A" w14:textId="734DE695" w:rsidR="00941FCA" w:rsidRDefault="0004503B" w:rsidP="00B534B7">
      <w:pPr>
        <w:pStyle w:val="Zkladntext"/>
        <w:rPr>
          <w:rFonts w:ascii="Palatino Linotype" w:hAnsi="Palatino Linotype" w:cs="Arial"/>
          <w:sz w:val="22"/>
          <w:szCs w:val="22"/>
        </w:rPr>
      </w:pPr>
      <w:r>
        <w:rPr>
          <w:rFonts w:ascii="Palatino Linotype" w:hAnsi="Palatino Linotype" w:cs="Arial"/>
          <w:sz w:val="22"/>
          <w:szCs w:val="22"/>
        </w:rPr>
        <w:t>S</w:t>
      </w:r>
      <w:r w:rsidR="00941FCA">
        <w:rPr>
          <w:rFonts w:ascii="Palatino Linotype" w:hAnsi="Palatino Linotype" w:cs="Arial"/>
          <w:sz w:val="22"/>
          <w:szCs w:val="22"/>
        </w:rPr>
        <w:t>táty uvedené na zelené kartě</w:t>
      </w:r>
      <w:r>
        <w:rPr>
          <w:rFonts w:ascii="Palatino Linotype" w:hAnsi="Palatino Linotype" w:cs="Arial"/>
          <w:sz w:val="22"/>
          <w:szCs w:val="22"/>
        </w:rPr>
        <w:t>.</w:t>
      </w:r>
    </w:p>
    <w:p w14:paraId="46D99196" w14:textId="77777777" w:rsidR="00A7087B" w:rsidRPr="00F47935" w:rsidRDefault="00A7087B" w:rsidP="00CC1738">
      <w:pPr>
        <w:pStyle w:val="Nadpis1"/>
        <w:rPr>
          <w:rFonts w:ascii="Palatino Linotype" w:hAnsi="Palatino Linotype"/>
        </w:rPr>
      </w:pPr>
      <w:r w:rsidRPr="00F47935">
        <w:rPr>
          <w:rFonts w:ascii="Palatino Linotype" w:hAnsi="Palatino Linotype"/>
        </w:rPr>
        <w:lastRenderedPageBreak/>
        <w:t xml:space="preserve">HAVARIJNÍ POJIŠTĚNÍ </w:t>
      </w:r>
    </w:p>
    <w:p w14:paraId="23B2FC8A" w14:textId="77777777" w:rsidR="00A7087B" w:rsidRPr="00F47935" w:rsidRDefault="00A7087B" w:rsidP="00925438">
      <w:pPr>
        <w:pStyle w:val="Nadpis2"/>
        <w:ind w:left="851" w:hanging="567"/>
        <w:rPr>
          <w:rFonts w:ascii="Palatino Linotype" w:hAnsi="Palatino Linotype" w:cs="Arial"/>
          <w:szCs w:val="22"/>
        </w:rPr>
      </w:pPr>
      <w:r w:rsidRPr="00F47935">
        <w:rPr>
          <w:rFonts w:ascii="Palatino Linotype" w:hAnsi="Palatino Linotype" w:cs="Arial"/>
          <w:szCs w:val="22"/>
        </w:rPr>
        <w:t>Rozsah pojištění</w:t>
      </w:r>
    </w:p>
    <w:p w14:paraId="1B2CE09D" w14:textId="77777777" w:rsidR="00A7087B" w:rsidRPr="007701E2" w:rsidRDefault="00A7087B" w:rsidP="00B534B7">
      <w:pPr>
        <w:rPr>
          <w:rFonts w:ascii="Palatino Linotype" w:hAnsi="Palatino Linotype" w:cs="Arial"/>
          <w:sz w:val="22"/>
          <w:szCs w:val="22"/>
        </w:rPr>
      </w:pPr>
      <w:r w:rsidRPr="007701E2">
        <w:rPr>
          <w:rFonts w:ascii="Palatino Linotype" w:hAnsi="Palatino Linotype" w:cs="Arial"/>
          <w:sz w:val="22"/>
          <w:szCs w:val="22"/>
        </w:rPr>
        <w:t>Pojištění se vztahuje na poškození, zničení vozidla nebo jeho části a příslušenství tvořící jeho obvyklou nebo mimořádnou výbavu jakoukoli nahodilou událostí včetně odcizení vozidla nebo jeho části.</w:t>
      </w:r>
    </w:p>
    <w:p w14:paraId="23B19D49" w14:textId="77777777" w:rsidR="00A7087B" w:rsidRPr="007701E2" w:rsidRDefault="00A7087B" w:rsidP="00B534B7">
      <w:pPr>
        <w:rPr>
          <w:rFonts w:ascii="Palatino Linotype" w:hAnsi="Palatino Linotype" w:cs="Arial"/>
          <w:sz w:val="22"/>
          <w:szCs w:val="22"/>
        </w:rPr>
      </w:pPr>
      <w:r w:rsidRPr="007701E2">
        <w:rPr>
          <w:rFonts w:ascii="Palatino Linotype" w:hAnsi="Palatino Linotype" w:cs="Arial"/>
          <w:sz w:val="22"/>
          <w:szCs w:val="22"/>
        </w:rPr>
        <w:t>Jedná se zejména o:</w:t>
      </w:r>
    </w:p>
    <w:p w14:paraId="6FEBC079" w14:textId="104A525A"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havári</w:t>
      </w:r>
      <w:r w:rsidR="00EE3F14" w:rsidRPr="007701E2">
        <w:rPr>
          <w:rFonts w:ascii="Palatino Linotype" w:hAnsi="Palatino Linotype" w:cs="Arial"/>
          <w:sz w:val="22"/>
          <w:szCs w:val="22"/>
        </w:rPr>
        <w:t>i</w:t>
      </w:r>
      <w:r w:rsidRPr="007701E2">
        <w:rPr>
          <w:rFonts w:ascii="Palatino Linotype" w:hAnsi="Palatino Linotype" w:cs="Arial"/>
          <w:sz w:val="22"/>
          <w:szCs w:val="22"/>
        </w:rPr>
        <w:t xml:space="preserve"> (náhlé nahodilé působení vnějších sil</w:t>
      </w:r>
      <w:r w:rsidR="00EA57BC" w:rsidRPr="007701E2">
        <w:rPr>
          <w:rFonts w:ascii="Palatino Linotype" w:hAnsi="Palatino Linotype" w:cs="Arial"/>
          <w:sz w:val="22"/>
          <w:szCs w:val="22"/>
        </w:rPr>
        <w:t xml:space="preserve">: </w:t>
      </w:r>
      <w:r w:rsidRPr="007701E2">
        <w:rPr>
          <w:rFonts w:ascii="Palatino Linotype" w:hAnsi="Palatino Linotype" w:cs="Arial"/>
          <w:sz w:val="22"/>
          <w:szCs w:val="22"/>
        </w:rPr>
        <w:t>náraz, stře</w:t>
      </w:r>
      <w:r w:rsidR="00E538B2" w:rsidRPr="007701E2">
        <w:rPr>
          <w:rFonts w:ascii="Palatino Linotype" w:hAnsi="Palatino Linotype" w:cs="Arial"/>
          <w:sz w:val="22"/>
          <w:szCs w:val="22"/>
        </w:rPr>
        <w:t>t</w:t>
      </w:r>
      <w:r w:rsidRPr="007701E2">
        <w:rPr>
          <w:rFonts w:ascii="Palatino Linotype" w:hAnsi="Palatino Linotype" w:cs="Arial"/>
          <w:sz w:val="22"/>
          <w:szCs w:val="22"/>
        </w:rPr>
        <w:t>, pád),</w:t>
      </w:r>
    </w:p>
    <w:p w14:paraId="4243E2AF" w14:textId="77777777"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odcizení,</w:t>
      </w:r>
    </w:p>
    <w:p w14:paraId="415C2FD0" w14:textId="77777777"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 xml:space="preserve">pohřešování, </w:t>
      </w:r>
    </w:p>
    <w:p w14:paraId="08A3090C" w14:textId="77777777"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vandalismus,</w:t>
      </w:r>
    </w:p>
    <w:p w14:paraId="719EB399" w14:textId="77777777"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neoprávněné užití vozidla (užití vozidla proti vůli oprávněné osoby),</w:t>
      </w:r>
    </w:p>
    <w:p w14:paraId="705CF528" w14:textId="77777777" w:rsidR="00A7087B" w:rsidRPr="007701E2"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poškození vozidla zvířetem</w:t>
      </w:r>
    </w:p>
    <w:p w14:paraId="3935F40C" w14:textId="6B261538" w:rsidR="00A7087B" w:rsidRDefault="00A7087B" w:rsidP="00B534B7">
      <w:pPr>
        <w:pStyle w:val="Odstavecseseznamem"/>
        <w:numPr>
          <w:ilvl w:val="0"/>
          <w:numId w:val="5"/>
        </w:numPr>
        <w:tabs>
          <w:tab w:val="clear" w:pos="851"/>
        </w:tabs>
        <w:ind w:left="1208" w:hanging="357"/>
        <w:rPr>
          <w:rFonts w:ascii="Palatino Linotype" w:hAnsi="Palatino Linotype" w:cs="Arial"/>
          <w:sz w:val="22"/>
          <w:szCs w:val="22"/>
        </w:rPr>
      </w:pPr>
      <w:r w:rsidRPr="007701E2">
        <w:rPr>
          <w:rFonts w:ascii="Palatino Linotype" w:hAnsi="Palatino Linotype" w:cs="Arial"/>
          <w:sz w:val="22"/>
          <w:szCs w:val="22"/>
        </w:rPr>
        <w:t>živelní události (působení přírodních sil</w:t>
      </w:r>
      <w:r w:rsidR="00EA57BC" w:rsidRPr="007701E2">
        <w:rPr>
          <w:rFonts w:ascii="Palatino Linotype" w:hAnsi="Palatino Linotype" w:cs="Arial"/>
          <w:sz w:val="22"/>
          <w:szCs w:val="22"/>
        </w:rPr>
        <w:t xml:space="preserve">: </w:t>
      </w:r>
      <w:r w:rsidRPr="007701E2">
        <w:rPr>
          <w:rFonts w:ascii="Palatino Linotype" w:hAnsi="Palatino Linotype" w:cs="Arial"/>
          <w:sz w:val="22"/>
          <w:szCs w:val="22"/>
        </w:rPr>
        <w:t>požár, výbuch, úder blesku, zřícení skal, zemin nebo lavin, pád stromů nebo stožárů, vichřice, krupobití, povodeň nebo záplava</w:t>
      </w:r>
      <w:r w:rsidR="00446E06" w:rsidRPr="007701E2">
        <w:rPr>
          <w:rFonts w:ascii="Palatino Linotype" w:hAnsi="Palatino Linotype" w:cs="Arial"/>
          <w:sz w:val="22"/>
          <w:szCs w:val="22"/>
        </w:rPr>
        <w:t>, zemětřesení</w:t>
      </w:r>
      <w:r w:rsidRPr="007701E2">
        <w:rPr>
          <w:rFonts w:ascii="Palatino Linotype" w:hAnsi="Palatino Linotype" w:cs="Arial"/>
          <w:sz w:val="22"/>
          <w:szCs w:val="22"/>
        </w:rPr>
        <w:t>).</w:t>
      </w:r>
    </w:p>
    <w:p w14:paraId="65667C69" w14:textId="77777777" w:rsidR="00A7087B" w:rsidRPr="007701E2" w:rsidRDefault="00A7087B" w:rsidP="00925438">
      <w:pPr>
        <w:pStyle w:val="Nadpis2"/>
        <w:tabs>
          <w:tab w:val="clear" w:pos="1135"/>
          <w:tab w:val="num" w:pos="1276"/>
        </w:tabs>
        <w:ind w:left="851" w:hanging="567"/>
        <w:rPr>
          <w:rFonts w:ascii="Palatino Linotype" w:hAnsi="Palatino Linotype" w:cs="Arial"/>
          <w:szCs w:val="22"/>
        </w:rPr>
      </w:pPr>
      <w:bookmarkStart w:id="3" w:name="_Toc182663636"/>
      <w:bookmarkStart w:id="4" w:name="_Toc247333909"/>
      <w:r w:rsidRPr="007701E2">
        <w:rPr>
          <w:rFonts w:ascii="Palatino Linotype" w:hAnsi="Palatino Linotype" w:cs="Arial"/>
          <w:szCs w:val="22"/>
        </w:rPr>
        <w:t>Pojistná hodnota</w:t>
      </w:r>
      <w:bookmarkEnd w:id="3"/>
      <w:bookmarkEnd w:id="4"/>
    </w:p>
    <w:p w14:paraId="16C08187" w14:textId="10609526" w:rsidR="00524C21" w:rsidRPr="007701E2" w:rsidRDefault="00B745FD" w:rsidP="00B534B7">
      <w:pPr>
        <w:rPr>
          <w:rFonts w:ascii="Palatino Linotype" w:hAnsi="Palatino Linotype" w:cs="Arial"/>
          <w:sz w:val="22"/>
          <w:szCs w:val="22"/>
        </w:rPr>
      </w:pPr>
      <w:r>
        <w:rPr>
          <w:rFonts w:ascii="Palatino Linotype" w:hAnsi="Palatino Linotype" w:cs="Arial"/>
          <w:sz w:val="22"/>
          <w:szCs w:val="22"/>
        </w:rPr>
        <w:t>Obvyklá cena</w:t>
      </w:r>
    </w:p>
    <w:p w14:paraId="7E17CDD1" w14:textId="7345A511" w:rsidR="00A7087B" w:rsidRPr="007701E2" w:rsidRDefault="00A7087B" w:rsidP="00925438">
      <w:pPr>
        <w:pStyle w:val="Nadpis2"/>
        <w:tabs>
          <w:tab w:val="clear" w:pos="1135"/>
          <w:tab w:val="num" w:pos="1276"/>
        </w:tabs>
        <w:ind w:left="851" w:hanging="567"/>
        <w:rPr>
          <w:rFonts w:ascii="Palatino Linotype" w:hAnsi="Palatino Linotype" w:cs="Arial"/>
          <w:szCs w:val="22"/>
        </w:rPr>
      </w:pPr>
      <w:bookmarkStart w:id="5" w:name="_Toc182663637"/>
      <w:bookmarkStart w:id="6" w:name="_Toc247333910"/>
      <w:r w:rsidRPr="007701E2">
        <w:rPr>
          <w:rFonts w:ascii="Palatino Linotype" w:hAnsi="Palatino Linotype" w:cs="Arial"/>
          <w:szCs w:val="22"/>
        </w:rPr>
        <w:t>Předmět pojištění, pojistná částka</w:t>
      </w:r>
      <w:bookmarkEnd w:id="5"/>
      <w:bookmarkEnd w:id="6"/>
      <w:r w:rsidR="00057B96">
        <w:rPr>
          <w:rFonts w:ascii="Palatino Linotype" w:hAnsi="Palatino Linotype" w:cs="Arial"/>
          <w:szCs w:val="22"/>
        </w:rPr>
        <w:t xml:space="preserve">, </w:t>
      </w:r>
      <w:r w:rsidR="00057B96" w:rsidRPr="003E75AC">
        <w:rPr>
          <w:rFonts w:ascii="Palatino Linotype" w:hAnsi="Palatino Linotype" w:cs="Arial"/>
          <w:szCs w:val="22"/>
        </w:rPr>
        <w:t>limit pojistného plnění</w:t>
      </w:r>
    </w:p>
    <w:p w14:paraId="723FD803" w14:textId="11406CDE" w:rsidR="00A7087B" w:rsidRPr="007701E2" w:rsidRDefault="00A7087B" w:rsidP="00B534B7">
      <w:pPr>
        <w:rPr>
          <w:rFonts w:ascii="Palatino Linotype" w:hAnsi="Palatino Linotype" w:cs="Arial"/>
          <w:sz w:val="22"/>
          <w:szCs w:val="22"/>
        </w:rPr>
      </w:pPr>
      <w:r w:rsidRPr="007701E2">
        <w:rPr>
          <w:rFonts w:ascii="Palatino Linotype" w:hAnsi="Palatino Linotype" w:cs="Arial"/>
          <w:sz w:val="22"/>
          <w:szCs w:val="22"/>
        </w:rPr>
        <w:t xml:space="preserve">Vozidla dle Přílohy č. </w:t>
      </w:r>
      <w:r w:rsidR="00EA57BC" w:rsidRPr="007701E2">
        <w:rPr>
          <w:rFonts w:ascii="Palatino Linotype" w:hAnsi="Palatino Linotype" w:cs="Arial"/>
          <w:sz w:val="22"/>
          <w:szCs w:val="22"/>
        </w:rPr>
        <w:t>1</w:t>
      </w:r>
      <w:r w:rsidRPr="007701E2">
        <w:rPr>
          <w:rFonts w:ascii="Palatino Linotype" w:hAnsi="Palatino Linotype" w:cs="Arial"/>
          <w:sz w:val="22"/>
          <w:szCs w:val="22"/>
        </w:rPr>
        <w:t xml:space="preserve"> těchto obchodních podmínek</w:t>
      </w:r>
      <w:r w:rsidR="004A1582" w:rsidRPr="007701E2">
        <w:rPr>
          <w:rFonts w:ascii="Palatino Linotype" w:hAnsi="Palatino Linotype" w:cs="Arial"/>
          <w:sz w:val="22"/>
          <w:szCs w:val="22"/>
        </w:rPr>
        <w:t xml:space="preserve"> včetně jejich obvyklé a mimořádné výbavy, která nemusí být vyjmenována</w:t>
      </w:r>
      <w:r w:rsidR="00EA57BC" w:rsidRPr="007701E2">
        <w:rPr>
          <w:rFonts w:ascii="Palatino Linotype" w:hAnsi="Palatino Linotype" w:cs="Arial"/>
          <w:sz w:val="22"/>
          <w:szCs w:val="22"/>
        </w:rPr>
        <w:t>.</w:t>
      </w:r>
    </w:p>
    <w:p w14:paraId="63C07C43" w14:textId="77777777" w:rsidR="002C5D6A" w:rsidRPr="004275BE" w:rsidRDefault="002C5D6A" w:rsidP="00B534B7">
      <w:pPr>
        <w:rPr>
          <w:rFonts w:ascii="Palatino Linotype" w:hAnsi="Palatino Linotype" w:cs="Arial"/>
          <w:sz w:val="22"/>
          <w:szCs w:val="22"/>
          <w:highlight w:val="green"/>
        </w:rPr>
      </w:pPr>
    </w:p>
    <w:p w14:paraId="6AF10D30" w14:textId="03320C78" w:rsidR="00EA57BC" w:rsidRPr="003E75AC" w:rsidRDefault="00EA57BC" w:rsidP="00B534B7">
      <w:pPr>
        <w:rPr>
          <w:rFonts w:ascii="Palatino Linotype" w:hAnsi="Palatino Linotype" w:cs="Arial"/>
          <w:sz w:val="22"/>
          <w:szCs w:val="22"/>
        </w:rPr>
      </w:pPr>
      <w:r w:rsidRPr="007701E2">
        <w:rPr>
          <w:rFonts w:ascii="Palatino Linotype" w:hAnsi="Palatino Linotype" w:cs="Arial"/>
          <w:sz w:val="22"/>
          <w:szCs w:val="22"/>
        </w:rPr>
        <w:t xml:space="preserve">V této příloze </w:t>
      </w:r>
      <w:r w:rsidR="007827F3" w:rsidRPr="007701E2">
        <w:rPr>
          <w:rFonts w:ascii="Palatino Linotype" w:hAnsi="Palatino Linotype" w:cs="Arial"/>
          <w:sz w:val="22"/>
          <w:szCs w:val="22"/>
        </w:rPr>
        <w:t>jsou</w:t>
      </w:r>
      <w:r w:rsidRPr="007701E2">
        <w:rPr>
          <w:rFonts w:ascii="Palatino Linotype" w:hAnsi="Palatino Linotype" w:cs="Arial"/>
          <w:sz w:val="22"/>
          <w:szCs w:val="22"/>
        </w:rPr>
        <w:t xml:space="preserve"> rovněž uvedeny výše </w:t>
      </w:r>
      <w:r w:rsidR="007D0B85" w:rsidRPr="007701E2">
        <w:rPr>
          <w:rFonts w:ascii="Palatino Linotype" w:hAnsi="Palatino Linotype" w:cs="Arial"/>
          <w:sz w:val="22"/>
          <w:szCs w:val="22"/>
        </w:rPr>
        <w:t>pojistných částek</w:t>
      </w:r>
      <w:r w:rsidRPr="007701E2">
        <w:rPr>
          <w:rFonts w:ascii="Palatino Linotype" w:hAnsi="Palatino Linotype" w:cs="Arial"/>
          <w:sz w:val="22"/>
          <w:szCs w:val="22"/>
        </w:rPr>
        <w:t xml:space="preserve"> pro jednotlivá </w:t>
      </w:r>
      <w:r w:rsidRPr="003E75AC">
        <w:rPr>
          <w:rFonts w:ascii="Palatino Linotype" w:hAnsi="Palatino Linotype" w:cs="Arial"/>
          <w:sz w:val="22"/>
          <w:szCs w:val="22"/>
        </w:rPr>
        <w:t>vozidla</w:t>
      </w:r>
      <w:r w:rsidR="00057B96" w:rsidRPr="003E75AC">
        <w:rPr>
          <w:rFonts w:ascii="Palatino Linotype" w:hAnsi="Palatino Linotype" w:cs="Arial"/>
          <w:sz w:val="22"/>
          <w:szCs w:val="22"/>
        </w:rPr>
        <w:t xml:space="preserve"> nebo výše limitů pojistného plnění pro jednotlivá hasičská vozidla.</w:t>
      </w:r>
    </w:p>
    <w:p w14:paraId="6CD36BEC" w14:textId="77777777" w:rsidR="00A7087B" w:rsidRPr="00F47935" w:rsidRDefault="00A7087B" w:rsidP="00925438">
      <w:pPr>
        <w:pStyle w:val="Nadpis2"/>
        <w:tabs>
          <w:tab w:val="clear" w:pos="1135"/>
          <w:tab w:val="num" w:pos="1276"/>
        </w:tabs>
        <w:ind w:left="851" w:hanging="567"/>
        <w:rPr>
          <w:rFonts w:ascii="Palatino Linotype" w:hAnsi="Palatino Linotype" w:cs="Arial"/>
          <w:szCs w:val="22"/>
        </w:rPr>
      </w:pPr>
      <w:bookmarkStart w:id="7" w:name="_Toc182663638"/>
      <w:bookmarkStart w:id="8" w:name="_Toc247333911"/>
      <w:r w:rsidRPr="00F47935">
        <w:rPr>
          <w:rFonts w:ascii="Palatino Linotype" w:hAnsi="Palatino Linotype" w:cs="Arial"/>
          <w:szCs w:val="22"/>
        </w:rPr>
        <w:t>Pojistné plnění</w:t>
      </w:r>
      <w:bookmarkEnd w:id="7"/>
      <w:bookmarkEnd w:id="8"/>
    </w:p>
    <w:p w14:paraId="05E027E3" w14:textId="51CCFADB" w:rsidR="00A7087B" w:rsidRPr="00F47935" w:rsidRDefault="00925438" w:rsidP="00B534B7">
      <w:pPr>
        <w:rPr>
          <w:rFonts w:ascii="Palatino Linotype" w:hAnsi="Palatino Linotype" w:cs="Arial"/>
          <w:sz w:val="22"/>
          <w:szCs w:val="22"/>
        </w:rPr>
      </w:pPr>
      <w:r>
        <w:rPr>
          <w:rFonts w:ascii="Palatino Linotype" w:hAnsi="Palatino Linotype" w:cs="Arial"/>
          <w:sz w:val="22"/>
          <w:szCs w:val="22"/>
        </w:rPr>
        <w:t>Pojistník</w:t>
      </w:r>
      <w:r w:rsidR="00A7087B" w:rsidRPr="007701E2">
        <w:rPr>
          <w:rFonts w:ascii="Palatino Linotype" w:hAnsi="Palatino Linotype" w:cs="Arial"/>
          <w:sz w:val="22"/>
          <w:szCs w:val="22"/>
        </w:rPr>
        <w:t xml:space="preserve"> neakceptuje omezení pojistného plnění pro všechny škody vyplacené z pojistných událostí za jedno vozidlo během pojistného období (za 12 měsíců), resp. pojistná částka</w:t>
      </w:r>
      <w:r w:rsidR="005658C7" w:rsidRPr="003E75AC">
        <w:rPr>
          <w:rFonts w:ascii="Palatino Linotype" w:hAnsi="Palatino Linotype" w:cs="Arial"/>
          <w:sz w:val="22"/>
          <w:szCs w:val="22"/>
        </w:rPr>
        <w:t>/limit pojistného plnění</w:t>
      </w:r>
      <w:r w:rsidR="00A7087B" w:rsidRPr="003E75AC">
        <w:rPr>
          <w:rFonts w:ascii="Palatino Linotype" w:hAnsi="Palatino Linotype" w:cs="Arial"/>
          <w:sz w:val="22"/>
          <w:szCs w:val="22"/>
        </w:rPr>
        <w:t xml:space="preserve"> </w:t>
      </w:r>
      <w:r w:rsidR="00A7087B" w:rsidRPr="007701E2">
        <w:rPr>
          <w:rFonts w:ascii="Palatino Linotype" w:hAnsi="Palatino Linotype" w:cs="Arial"/>
          <w:sz w:val="22"/>
          <w:szCs w:val="22"/>
        </w:rPr>
        <w:t>se nespotřebovává.</w:t>
      </w:r>
    </w:p>
    <w:p w14:paraId="1BAD19C7" w14:textId="77777777" w:rsidR="00A7087B" w:rsidRPr="00F47935" w:rsidRDefault="00A7087B" w:rsidP="00925438">
      <w:pPr>
        <w:pStyle w:val="Nadpis2"/>
        <w:tabs>
          <w:tab w:val="clear" w:pos="1135"/>
          <w:tab w:val="num" w:pos="1276"/>
        </w:tabs>
        <w:ind w:left="851" w:hanging="567"/>
        <w:rPr>
          <w:rFonts w:ascii="Palatino Linotype" w:hAnsi="Palatino Linotype" w:cs="Arial"/>
          <w:szCs w:val="22"/>
        </w:rPr>
      </w:pPr>
      <w:bookmarkStart w:id="9" w:name="_Toc182663639"/>
      <w:bookmarkStart w:id="10" w:name="_Toc247333912"/>
      <w:r w:rsidRPr="00F47935">
        <w:rPr>
          <w:rFonts w:ascii="Palatino Linotype" w:hAnsi="Palatino Linotype" w:cs="Arial"/>
          <w:szCs w:val="22"/>
        </w:rPr>
        <w:t>Spoluúčast</w:t>
      </w:r>
      <w:bookmarkEnd w:id="9"/>
      <w:bookmarkEnd w:id="10"/>
    </w:p>
    <w:p w14:paraId="25ADFD6F" w14:textId="7D095198" w:rsidR="008C4E1D" w:rsidRPr="00F47935" w:rsidRDefault="00316926" w:rsidP="00446E06">
      <w:pPr>
        <w:rPr>
          <w:rFonts w:ascii="Palatino Linotype" w:hAnsi="Palatino Linotype" w:cs="Arial"/>
          <w:sz w:val="22"/>
          <w:szCs w:val="22"/>
        </w:rPr>
      </w:pPr>
      <w:r w:rsidRPr="00316926">
        <w:rPr>
          <w:rFonts w:ascii="Palatino Linotype" w:hAnsi="Palatino Linotype" w:cs="Arial"/>
          <w:sz w:val="22"/>
          <w:szCs w:val="22"/>
        </w:rPr>
        <w:t>Konkrétně uveden</w:t>
      </w:r>
      <w:r w:rsidR="00545FDB">
        <w:rPr>
          <w:rFonts w:ascii="Palatino Linotype" w:hAnsi="Palatino Linotype" w:cs="Arial"/>
          <w:sz w:val="22"/>
          <w:szCs w:val="22"/>
        </w:rPr>
        <w:t>a</w:t>
      </w:r>
      <w:r w:rsidRPr="00316926">
        <w:rPr>
          <w:rFonts w:ascii="Palatino Linotype" w:hAnsi="Palatino Linotype" w:cs="Arial"/>
          <w:sz w:val="22"/>
          <w:szCs w:val="22"/>
        </w:rPr>
        <w:t xml:space="preserve"> u jednotlivých vozidel dle Přílohy č. 1 těchto obchodních podmínek.</w:t>
      </w:r>
    </w:p>
    <w:p w14:paraId="6AD6DD38" w14:textId="77777777" w:rsidR="00A7087B" w:rsidRPr="00F47935" w:rsidRDefault="00A7087B" w:rsidP="00925438">
      <w:pPr>
        <w:pStyle w:val="Nadpis2"/>
        <w:tabs>
          <w:tab w:val="clear" w:pos="1135"/>
          <w:tab w:val="num" w:pos="1276"/>
        </w:tabs>
        <w:ind w:left="851" w:hanging="567"/>
        <w:rPr>
          <w:rFonts w:ascii="Palatino Linotype" w:hAnsi="Palatino Linotype" w:cs="Arial"/>
          <w:szCs w:val="22"/>
        </w:rPr>
      </w:pPr>
      <w:r w:rsidRPr="00F47935">
        <w:rPr>
          <w:rFonts w:ascii="Palatino Linotype" w:hAnsi="Palatino Linotype" w:cs="Arial"/>
          <w:szCs w:val="22"/>
        </w:rPr>
        <w:t>Územní rozsah</w:t>
      </w:r>
    </w:p>
    <w:p w14:paraId="4FF1962B" w14:textId="5B4ADB4A" w:rsidR="00A7087B" w:rsidRPr="00F47935" w:rsidRDefault="004B1BA1" w:rsidP="00B534B7">
      <w:pPr>
        <w:rPr>
          <w:rFonts w:ascii="Palatino Linotype" w:hAnsi="Palatino Linotype" w:cs="Arial"/>
          <w:sz w:val="22"/>
          <w:szCs w:val="22"/>
        </w:rPr>
      </w:pPr>
      <w:r w:rsidRPr="00D517CD">
        <w:rPr>
          <w:rFonts w:ascii="Palatino Linotype" w:hAnsi="Palatino Linotype" w:cs="Arial"/>
          <w:sz w:val="22"/>
          <w:szCs w:val="22"/>
        </w:rPr>
        <w:t>G</w:t>
      </w:r>
      <w:r w:rsidR="00A7087B" w:rsidRPr="00D517CD">
        <w:rPr>
          <w:rFonts w:ascii="Palatino Linotype" w:hAnsi="Palatino Linotype" w:cs="Arial"/>
          <w:sz w:val="22"/>
          <w:szCs w:val="22"/>
        </w:rPr>
        <w:t>eografické území Evropy</w:t>
      </w:r>
      <w:r w:rsidR="003A158D" w:rsidRPr="00D517CD">
        <w:rPr>
          <w:rFonts w:ascii="Palatino Linotype" w:hAnsi="Palatino Linotype" w:cs="Arial"/>
          <w:sz w:val="22"/>
          <w:szCs w:val="22"/>
        </w:rPr>
        <w:t xml:space="preserve"> vyjma Ruska a Běloruska</w:t>
      </w:r>
      <w:r w:rsidR="004D61C0">
        <w:rPr>
          <w:rFonts w:ascii="Palatino Linotype" w:hAnsi="Palatino Linotype" w:cs="Arial"/>
          <w:sz w:val="22"/>
          <w:szCs w:val="22"/>
        </w:rPr>
        <w:t>.</w:t>
      </w:r>
    </w:p>
    <w:p w14:paraId="23ABED10" w14:textId="6F51BE0E" w:rsidR="00971D67" w:rsidRPr="00F47935" w:rsidRDefault="00971D67" w:rsidP="00925438">
      <w:pPr>
        <w:pStyle w:val="Nadpis2"/>
        <w:tabs>
          <w:tab w:val="clear" w:pos="1135"/>
          <w:tab w:val="num" w:pos="1276"/>
        </w:tabs>
        <w:ind w:left="851" w:hanging="567"/>
        <w:rPr>
          <w:rFonts w:ascii="Palatino Linotype" w:hAnsi="Palatino Linotype" w:cs="Arial"/>
          <w:szCs w:val="22"/>
        </w:rPr>
      </w:pPr>
      <w:r w:rsidRPr="00F47935">
        <w:rPr>
          <w:rFonts w:ascii="Palatino Linotype" w:hAnsi="Palatino Linotype" w:cs="Arial"/>
          <w:szCs w:val="22"/>
        </w:rPr>
        <w:t>Zvláštní ujednání</w:t>
      </w:r>
    </w:p>
    <w:p w14:paraId="4150999D" w14:textId="24542EA7" w:rsidR="000B17B9" w:rsidRPr="00D517CD" w:rsidRDefault="000B17B9" w:rsidP="00971D67">
      <w:pPr>
        <w:tabs>
          <w:tab w:val="left" w:pos="-5103"/>
        </w:tabs>
        <w:spacing w:after="240"/>
        <w:rPr>
          <w:rFonts w:ascii="Palatino Linotype" w:hAnsi="Palatino Linotype" w:cs="Arial"/>
          <w:sz w:val="22"/>
          <w:szCs w:val="22"/>
        </w:rPr>
      </w:pPr>
      <w:r w:rsidRPr="00D517CD">
        <w:rPr>
          <w:rFonts w:ascii="Palatino Linotype" w:hAnsi="Palatino Linotype" w:cs="Arial"/>
          <w:sz w:val="22"/>
          <w:szCs w:val="22"/>
        </w:rPr>
        <w:t>Pojištění se vztahuje na jakékoliv vozidlo bez ohledu na jeho stáří.</w:t>
      </w:r>
    </w:p>
    <w:p w14:paraId="15B23789" w14:textId="24EA0EA6" w:rsidR="00971D67" w:rsidRPr="00F47935" w:rsidRDefault="003A158D" w:rsidP="00971D67">
      <w:pPr>
        <w:tabs>
          <w:tab w:val="left" w:pos="-5103"/>
        </w:tabs>
        <w:spacing w:after="240"/>
        <w:rPr>
          <w:rFonts w:ascii="Palatino Linotype" w:hAnsi="Palatino Linotype" w:cs="Arial"/>
          <w:sz w:val="22"/>
          <w:szCs w:val="22"/>
        </w:rPr>
      </w:pPr>
      <w:r w:rsidRPr="00D517CD">
        <w:rPr>
          <w:rFonts w:ascii="Palatino Linotype" w:hAnsi="Palatino Linotype" w:cs="Arial"/>
          <w:sz w:val="22"/>
          <w:szCs w:val="22"/>
        </w:rPr>
        <w:t>P</w:t>
      </w:r>
      <w:r w:rsidR="00971D67" w:rsidRPr="00D517CD">
        <w:rPr>
          <w:rFonts w:ascii="Palatino Linotype" w:hAnsi="Palatino Linotype" w:cs="Arial"/>
          <w:sz w:val="22"/>
          <w:szCs w:val="22"/>
        </w:rPr>
        <w:t xml:space="preserve">ojištění se vztahuje i na případy </w:t>
      </w:r>
      <w:r w:rsidR="00540093" w:rsidRPr="00D517CD">
        <w:rPr>
          <w:rFonts w:ascii="Palatino Linotype" w:hAnsi="Palatino Linotype" w:cs="Arial"/>
          <w:sz w:val="22"/>
          <w:szCs w:val="22"/>
        </w:rPr>
        <w:t xml:space="preserve">poškození nebo zničení vozidla při jeho </w:t>
      </w:r>
      <w:r w:rsidR="00971D67" w:rsidRPr="00D517CD">
        <w:rPr>
          <w:rFonts w:ascii="Palatino Linotype" w:hAnsi="Palatino Linotype" w:cs="Arial"/>
          <w:sz w:val="22"/>
          <w:szCs w:val="22"/>
        </w:rPr>
        <w:t>činnosti jako pracovního stroje, resp. neuplatňuje se výluka pro škody vzniklé při činnosti vozidla nebo jeho části (nástavby) jako pracovního stroje</w:t>
      </w:r>
      <w:r w:rsidR="00893EA8" w:rsidRPr="00D517CD">
        <w:rPr>
          <w:rFonts w:ascii="Palatino Linotype" w:hAnsi="Palatino Linotype" w:cs="Arial"/>
          <w:sz w:val="22"/>
          <w:szCs w:val="22"/>
        </w:rPr>
        <w:t>.</w:t>
      </w:r>
      <w:r w:rsidR="00373DF7" w:rsidRPr="00D517CD">
        <w:rPr>
          <w:rFonts w:ascii="Palatino Linotype" w:hAnsi="Palatino Linotype" w:cs="Arial"/>
          <w:sz w:val="22"/>
          <w:szCs w:val="22"/>
        </w:rPr>
        <w:t xml:space="preserve"> Toto ujednání platí pro </w:t>
      </w:r>
      <w:r w:rsidR="00373DF7" w:rsidRPr="00D517CD">
        <w:rPr>
          <w:rFonts w:ascii="Palatino Linotype" w:hAnsi="Palatino Linotype" w:cs="Arial"/>
          <w:sz w:val="22"/>
          <w:szCs w:val="22"/>
        </w:rPr>
        <w:lastRenderedPageBreak/>
        <w:t xml:space="preserve">jakýkoliv druh vozidla, tj. </w:t>
      </w:r>
      <w:r w:rsidR="00CA5B1C" w:rsidRPr="00D517CD">
        <w:rPr>
          <w:rFonts w:ascii="Palatino Linotype" w:hAnsi="Palatino Linotype" w:cs="Arial"/>
          <w:sz w:val="22"/>
          <w:szCs w:val="22"/>
        </w:rPr>
        <w:t>také pro</w:t>
      </w:r>
      <w:r w:rsidR="00373DF7" w:rsidRPr="00D517CD">
        <w:rPr>
          <w:rFonts w:ascii="Palatino Linotype" w:hAnsi="Palatino Linotype" w:cs="Arial"/>
          <w:sz w:val="22"/>
          <w:szCs w:val="22"/>
        </w:rPr>
        <w:t xml:space="preserve"> druh vozidla pracovní stroj.</w:t>
      </w:r>
      <w:r w:rsidR="00586B75" w:rsidRPr="00D517CD">
        <w:rPr>
          <w:rFonts w:ascii="Palatino Linotype" w:hAnsi="Palatino Linotype" w:cs="Arial"/>
          <w:sz w:val="22"/>
          <w:szCs w:val="22"/>
        </w:rPr>
        <w:t xml:space="preserve"> Platí pro vybraná vozidla dle Přílohy č. 1 těchto obchodních podmínek.</w:t>
      </w:r>
    </w:p>
    <w:p w14:paraId="73DA3373" w14:textId="54EA426C" w:rsidR="00A40275" w:rsidRDefault="00A40275" w:rsidP="00A40275">
      <w:pPr>
        <w:tabs>
          <w:tab w:val="left" w:pos="-5103"/>
        </w:tabs>
        <w:spacing w:after="240"/>
        <w:rPr>
          <w:rFonts w:ascii="Palatino Linotype" w:hAnsi="Palatino Linotype" w:cs="Arial"/>
          <w:sz w:val="22"/>
          <w:szCs w:val="22"/>
        </w:rPr>
      </w:pPr>
      <w:r w:rsidRPr="00D517CD">
        <w:rPr>
          <w:rFonts w:ascii="Palatino Linotype" w:hAnsi="Palatino Linotype" w:cs="Arial"/>
          <w:sz w:val="22"/>
          <w:szCs w:val="22"/>
        </w:rPr>
        <w:t>Pojištění se taktéž vztahuje na vozidlo, blíže specifikované v pojistné smlouvě, technicky způsobilé k provozu na pozemních komunikacích, kterému není přidělována registrační značka</w:t>
      </w:r>
      <w:r>
        <w:rPr>
          <w:rFonts w:ascii="Palatino Linotype" w:hAnsi="Palatino Linotype" w:cs="Arial"/>
          <w:sz w:val="22"/>
          <w:szCs w:val="22"/>
        </w:rPr>
        <w:t xml:space="preserve"> (vozidla, u kterých není povinnost je registrovat)</w:t>
      </w:r>
      <w:r w:rsidRPr="00D517CD">
        <w:rPr>
          <w:rFonts w:ascii="Palatino Linotype" w:hAnsi="Palatino Linotype" w:cs="Arial"/>
          <w:sz w:val="22"/>
          <w:szCs w:val="22"/>
        </w:rPr>
        <w:t>. Pokud registrační značka přidělena je, nemusí být v době vzniku pojistné události na vozidle umístěna.</w:t>
      </w:r>
      <w:r>
        <w:rPr>
          <w:rFonts w:ascii="Palatino Linotype" w:hAnsi="Palatino Linotype" w:cs="Arial"/>
          <w:sz w:val="22"/>
          <w:szCs w:val="22"/>
        </w:rPr>
        <w:t xml:space="preserve"> Pojištění se taktéž vztahuje na zcela nová vozidla, zakoupená v ČR, dosud neregistrovaná, která mají platný </w:t>
      </w:r>
      <w:proofErr w:type="spellStart"/>
      <w:r>
        <w:rPr>
          <w:rFonts w:ascii="Palatino Linotype" w:hAnsi="Palatino Linotype" w:cs="Arial"/>
          <w:sz w:val="22"/>
          <w:szCs w:val="22"/>
        </w:rPr>
        <w:t>CoC</w:t>
      </w:r>
      <w:proofErr w:type="spellEnd"/>
      <w:r>
        <w:rPr>
          <w:rFonts w:ascii="Palatino Linotype" w:hAnsi="Palatino Linotype" w:cs="Arial"/>
          <w:sz w:val="22"/>
          <w:szCs w:val="22"/>
        </w:rPr>
        <w:t xml:space="preserve"> list.</w:t>
      </w:r>
    </w:p>
    <w:p w14:paraId="3A0318A7" w14:textId="6802A36E" w:rsidR="00525844" w:rsidRPr="009401DE" w:rsidRDefault="00525844" w:rsidP="00A40275">
      <w:pPr>
        <w:tabs>
          <w:tab w:val="left" w:pos="-5103"/>
        </w:tabs>
        <w:spacing w:after="240"/>
        <w:rPr>
          <w:rFonts w:ascii="Palatino Linotype" w:hAnsi="Palatino Linotype" w:cs="Arial"/>
          <w:sz w:val="22"/>
          <w:szCs w:val="22"/>
        </w:rPr>
      </w:pPr>
      <w:r w:rsidRPr="009401DE">
        <w:rPr>
          <w:rFonts w:ascii="Palatino Linotype" w:hAnsi="Palatino Linotype" w:cs="Arial"/>
          <w:sz w:val="22"/>
          <w:szCs w:val="22"/>
        </w:rPr>
        <w:t>Pojištění se též vztahuje na poškození, zničení vozidla nebo jeho části způsobené provozem vozidla při jeho účasti na testovacích, zkušebních, zážitkových jízdách a školách smyku a dále jízdách na uzavřeném okruhu, při kterých není řidič povinen dodržovat pravidla provozu na pozemních komunikacích. Navyšuje se spoluúčast, kterou se oprávněná osoba podílí na úhradě nákladů vzniklých pojistnou událostí na 10 % min. 10 000,- Kč u vozidel do 3,5 t nebo 20 % min. 20 000,- Kč pro vozidla nad 3,5 t. Před účastí na výše vyjmenovaných typech jízd bude zadavatel o užití vozidla k tomuto účelu předem informovat.</w:t>
      </w:r>
    </w:p>
    <w:p w14:paraId="3ED48B67" w14:textId="1C48D6ED" w:rsidR="00D8649E" w:rsidRPr="00F47935" w:rsidRDefault="00D8649E" w:rsidP="007210D6">
      <w:pPr>
        <w:tabs>
          <w:tab w:val="left" w:pos="-5103"/>
        </w:tabs>
        <w:spacing w:after="240"/>
        <w:rPr>
          <w:rFonts w:ascii="Palatino Linotype" w:hAnsi="Palatino Linotype" w:cs="Arial"/>
          <w:sz w:val="22"/>
          <w:szCs w:val="22"/>
        </w:rPr>
      </w:pPr>
      <w:r w:rsidRPr="00D517CD">
        <w:rPr>
          <w:rFonts w:ascii="Palatino Linotype" w:hAnsi="Palatino Linotype" w:cs="Arial"/>
          <w:sz w:val="22"/>
          <w:szCs w:val="22"/>
        </w:rPr>
        <w:t>Havarijní pojištění se vztahuje také na události, při nichž došlo k poškození či zničení skel vozidla.</w:t>
      </w:r>
    </w:p>
    <w:p w14:paraId="4B54BF2D" w14:textId="762B5C61" w:rsidR="00D8649E" w:rsidRDefault="00D8649E" w:rsidP="006F61DC">
      <w:pPr>
        <w:spacing w:after="240"/>
        <w:rPr>
          <w:rFonts w:ascii="Palatino Linotype" w:hAnsi="Palatino Linotype" w:cs="Arial"/>
          <w:sz w:val="22"/>
          <w:szCs w:val="22"/>
        </w:rPr>
      </w:pPr>
      <w:r w:rsidRPr="00D517CD">
        <w:rPr>
          <w:rFonts w:ascii="Palatino Linotype" w:hAnsi="Palatino Linotype" w:cs="Arial"/>
          <w:sz w:val="22"/>
          <w:szCs w:val="22"/>
        </w:rPr>
        <w:t xml:space="preserve">Pojistitel akceptuje stávající způsob zabezpečení všech vozidel, u kterých </w:t>
      </w:r>
      <w:r w:rsidR="00545FDB">
        <w:rPr>
          <w:rFonts w:ascii="Palatino Linotype" w:hAnsi="Palatino Linotype" w:cs="Arial"/>
          <w:sz w:val="22"/>
          <w:szCs w:val="22"/>
        </w:rPr>
        <w:t>pojistník</w:t>
      </w:r>
      <w:r w:rsidRPr="00D517CD">
        <w:rPr>
          <w:rFonts w:ascii="Palatino Linotype" w:hAnsi="Palatino Linotype" w:cs="Arial"/>
          <w:sz w:val="22"/>
          <w:szCs w:val="22"/>
        </w:rPr>
        <w:t xml:space="preserve"> požaduje sjednat havarijní pojištění.</w:t>
      </w:r>
    </w:p>
    <w:p w14:paraId="7883E04F" w14:textId="0D01183E" w:rsidR="00D924F1" w:rsidRPr="003E75AC" w:rsidRDefault="00D924F1" w:rsidP="006F61DC">
      <w:pPr>
        <w:spacing w:after="240"/>
        <w:rPr>
          <w:rFonts w:ascii="Palatino Linotype" w:hAnsi="Palatino Linotype" w:cs="Arial"/>
          <w:sz w:val="22"/>
          <w:szCs w:val="22"/>
        </w:rPr>
      </w:pPr>
      <w:r w:rsidRPr="003E75AC">
        <w:rPr>
          <w:rFonts w:ascii="Palatino Linotype" w:hAnsi="Palatino Linotype" w:cs="Arial"/>
          <w:sz w:val="22"/>
          <w:szCs w:val="22"/>
        </w:rPr>
        <w:t>Pro pojištění hasičských vozidel se ujednává, že maximální výše pojistného plnění je dána limitem. V limitu plnění je také zohledněna hodnota výbavy vozidla, která nemusí být vyjmenována, v případě pojistné události je oprávněná osoba povinna rozsah nestandardní výbavy doložit.</w:t>
      </w:r>
    </w:p>
    <w:p w14:paraId="6E0D3ECA" w14:textId="34083780" w:rsidR="000122F5" w:rsidRPr="00F47935" w:rsidRDefault="000122F5" w:rsidP="006F61DC">
      <w:pPr>
        <w:spacing w:after="240"/>
        <w:rPr>
          <w:rFonts w:ascii="Palatino Linotype" w:hAnsi="Palatino Linotype" w:cs="Arial"/>
          <w:sz w:val="22"/>
          <w:szCs w:val="22"/>
        </w:rPr>
      </w:pPr>
      <w:r w:rsidRPr="00D517CD">
        <w:rPr>
          <w:rFonts w:ascii="Palatino Linotype" w:hAnsi="Palatino Linotype" w:cs="Arial"/>
          <w:sz w:val="22"/>
          <w:szCs w:val="22"/>
        </w:rPr>
        <w:t>Veškerá vozidla jsou pojištěna včetně reklamy na vozidlech, standardní, nadstandardní, mimořádné a zvláštní výbavy nebo jiných předmětů pojištění vztahujících se k vozidlu nebo jeho provozu (např. navigace, reklama, polepy, rozvody vzduchu, zabudovaný nábytek atd., dále venkovní výbava jako např. světelná a zvuková výstražná signalizace, ochranné rámy</w:t>
      </w:r>
      <w:r w:rsidR="00AE36D4" w:rsidRPr="00D517CD">
        <w:rPr>
          <w:rFonts w:ascii="Palatino Linotype" w:hAnsi="Palatino Linotype" w:cs="Arial"/>
          <w:sz w:val="22"/>
          <w:szCs w:val="22"/>
        </w:rPr>
        <w:t>, výměnné nástavby včetně vybavení</w:t>
      </w:r>
      <w:r w:rsidRPr="00D517CD">
        <w:rPr>
          <w:rFonts w:ascii="Palatino Linotype" w:hAnsi="Palatino Linotype" w:cs="Arial"/>
          <w:sz w:val="22"/>
          <w:szCs w:val="22"/>
        </w:rPr>
        <w:t xml:space="preserve"> atd.), jež jsou již zahrnuta v pojistné částce</w:t>
      </w:r>
      <w:r w:rsidR="004261C3">
        <w:rPr>
          <w:rFonts w:ascii="Palatino Linotype" w:hAnsi="Palatino Linotype" w:cs="Arial"/>
          <w:sz w:val="22"/>
          <w:szCs w:val="22"/>
        </w:rPr>
        <w:t xml:space="preserve">. </w:t>
      </w:r>
      <w:r w:rsidR="00E46BBB" w:rsidRPr="00D517CD">
        <w:rPr>
          <w:rFonts w:ascii="Palatino Linotype" w:hAnsi="Palatino Linotype" w:cs="Arial"/>
          <w:sz w:val="22"/>
          <w:szCs w:val="22"/>
        </w:rPr>
        <w:t>Výměnné nástavby včetně vybavení mohou být vlastní i cizí po právu užívané.</w:t>
      </w:r>
      <w:r w:rsidRPr="00D517CD">
        <w:rPr>
          <w:rFonts w:ascii="Palatino Linotype" w:hAnsi="Palatino Linotype" w:cs="Arial"/>
          <w:sz w:val="22"/>
          <w:szCs w:val="22"/>
        </w:rPr>
        <w:t xml:space="preserve"> Toto ujednání se vztahuje na výbavu včetně příslušenství, která byla v době pojistné události umístěna v </w:t>
      </w:r>
      <w:r w:rsidR="001D4EEC" w:rsidRPr="00D517CD">
        <w:rPr>
          <w:rFonts w:ascii="Palatino Linotype" w:hAnsi="Palatino Linotype" w:cs="Arial"/>
          <w:sz w:val="22"/>
          <w:szCs w:val="22"/>
        </w:rPr>
        <w:t xml:space="preserve">(na) </w:t>
      </w:r>
      <w:r w:rsidRPr="00D517CD">
        <w:rPr>
          <w:rFonts w:ascii="Palatino Linotype" w:hAnsi="Palatino Linotype" w:cs="Arial"/>
          <w:sz w:val="22"/>
          <w:szCs w:val="22"/>
        </w:rPr>
        <w:t xml:space="preserve">pojištěném vozidle (nezáleží na tom, zdali výbava byla součástí kompletní dodávky vozidla anebo byla namontována dodatečně) a </w:t>
      </w:r>
      <w:r w:rsidR="007E1D57" w:rsidRPr="00D517CD">
        <w:rPr>
          <w:rFonts w:ascii="Palatino Linotype" w:hAnsi="Palatino Linotype" w:cs="Arial"/>
          <w:sz w:val="22"/>
          <w:szCs w:val="22"/>
        </w:rPr>
        <w:t>oprávněná osoba</w:t>
      </w:r>
      <w:r w:rsidRPr="00D517CD">
        <w:rPr>
          <w:rFonts w:ascii="Palatino Linotype" w:hAnsi="Palatino Linotype" w:cs="Arial"/>
          <w:sz w:val="22"/>
          <w:szCs w:val="22"/>
        </w:rPr>
        <w:t xml:space="preserve"> tuto skutečnost </w:t>
      </w:r>
      <w:r w:rsidR="00EF545A" w:rsidRPr="00D517CD">
        <w:rPr>
          <w:rFonts w:ascii="Palatino Linotype" w:hAnsi="Palatino Linotype" w:cs="Arial"/>
          <w:sz w:val="22"/>
          <w:szCs w:val="22"/>
        </w:rPr>
        <w:t>doloží</w:t>
      </w:r>
      <w:r w:rsidRPr="00D517CD">
        <w:rPr>
          <w:rFonts w:ascii="Palatino Linotype" w:hAnsi="Palatino Linotype" w:cs="Arial"/>
          <w:sz w:val="22"/>
          <w:szCs w:val="22"/>
        </w:rPr>
        <w:t>.</w:t>
      </w:r>
    </w:p>
    <w:p w14:paraId="1255EC7D" w14:textId="1013EA23" w:rsidR="00434A3B" w:rsidRPr="00F47935" w:rsidRDefault="00434A3B" w:rsidP="00E46BBB">
      <w:pPr>
        <w:spacing w:after="240"/>
        <w:rPr>
          <w:rFonts w:ascii="Palatino Linotype" w:hAnsi="Palatino Linotype" w:cs="Arial"/>
          <w:sz w:val="22"/>
          <w:szCs w:val="22"/>
        </w:rPr>
      </w:pPr>
      <w:r w:rsidRPr="00805174">
        <w:rPr>
          <w:rFonts w:ascii="Palatino Linotype" w:hAnsi="Palatino Linotype" w:cs="Arial"/>
          <w:sz w:val="22"/>
          <w:szCs w:val="22"/>
        </w:rPr>
        <w:t>Pro vozidlo, které je dočasně vyřazeno z provozu (depozit), lze sjednat havarijní pojištění pro riziko odcizení a živel.</w:t>
      </w:r>
    </w:p>
    <w:p w14:paraId="6272426D" w14:textId="77777777" w:rsidR="00A7087B" w:rsidRPr="00F47935" w:rsidRDefault="00A7087B" w:rsidP="00CC1738">
      <w:pPr>
        <w:pStyle w:val="Nadpis1"/>
        <w:rPr>
          <w:rFonts w:ascii="Palatino Linotype" w:hAnsi="Palatino Linotype"/>
        </w:rPr>
      </w:pPr>
      <w:r w:rsidRPr="00F47935">
        <w:rPr>
          <w:rFonts w:ascii="Palatino Linotype" w:hAnsi="Palatino Linotype"/>
        </w:rPr>
        <w:lastRenderedPageBreak/>
        <w:t>DOPLŇKOVÁ POJIŠTĚNÍ</w:t>
      </w:r>
    </w:p>
    <w:p w14:paraId="546B2DDC" w14:textId="77777777" w:rsidR="00A7087B" w:rsidRPr="00F47935" w:rsidRDefault="00A7087B" w:rsidP="00925438">
      <w:pPr>
        <w:pStyle w:val="Nadpis2"/>
        <w:tabs>
          <w:tab w:val="clear" w:pos="1135"/>
          <w:tab w:val="num" w:pos="1276"/>
        </w:tabs>
        <w:ind w:left="851" w:hanging="567"/>
        <w:rPr>
          <w:rFonts w:ascii="Palatino Linotype" w:hAnsi="Palatino Linotype" w:cs="Arial"/>
          <w:szCs w:val="22"/>
        </w:rPr>
      </w:pPr>
      <w:bookmarkStart w:id="11" w:name="_Toc182663649"/>
      <w:bookmarkStart w:id="12" w:name="_Toc247333922"/>
      <w:r w:rsidRPr="00F47935">
        <w:rPr>
          <w:rFonts w:ascii="Palatino Linotype" w:hAnsi="Palatino Linotype" w:cs="Arial"/>
          <w:szCs w:val="22"/>
        </w:rPr>
        <w:t>Úrazové pojištění osob dopravovaných pojištěnými vozidly</w:t>
      </w:r>
      <w:bookmarkEnd w:id="11"/>
      <w:bookmarkEnd w:id="12"/>
    </w:p>
    <w:p w14:paraId="2ECB2332"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 xml:space="preserve">Předmět pojištění </w:t>
      </w:r>
    </w:p>
    <w:p w14:paraId="4211F993" w14:textId="1B7A7B95" w:rsidR="00A7087B" w:rsidRPr="00F47935" w:rsidRDefault="00A7087B" w:rsidP="00B534B7">
      <w:pPr>
        <w:rPr>
          <w:rFonts w:ascii="Palatino Linotype" w:hAnsi="Palatino Linotype" w:cs="Arial"/>
          <w:sz w:val="22"/>
          <w:szCs w:val="22"/>
        </w:rPr>
      </w:pPr>
      <w:r w:rsidRPr="00D517CD">
        <w:rPr>
          <w:rFonts w:ascii="Palatino Linotype" w:hAnsi="Palatino Linotype" w:cs="Arial"/>
          <w:sz w:val="22"/>
          <w:szCs w:val="22"/>
        </w:rPr>
        <w:t>Úraz řidiče a osob dopravovaných vozidlem speci</w:t>
      </w:r>
      <w:r w:rsidR="0093206B" w:rsidRPr="00D517CD">
        <w:rPr>
          <w:rFonts w:ascii="Palatino Linotype" w:hAnsi="Palatino Linotype" w:cs="Arial"/>
          <w:sz w:val="22"/>
          <w:szCs w:val="22"/>
        </w:rPr>
        <w:t xml:space="preserve">fikovaným v Příloze č. </w:t>
      </w:r>
      <w:r w:rsidR="00971D67" w:rsidRPr="00D517CD">
        <w:rPr>
          <w:rFonts w:ascii="Palatino Linotype" w:hAnsi="Palatino Linotype" w:cs="Arial"/>
          <w:sz w:val="22"/>
          <w:szCs w:val="22"/>
        </w:rPr>
        <w:t>1</w:t>
      </w:r>
      <w:r w:rsidRPr="00D517CD">
        <w:rPr>
          <w:rFonts w:ascii="Palatino Linotype" w:hAnsi="Palatino Linotype" w:cs="Arial"/>
          <w:sz w:val="22"/>
          <w:szCs w:val="22"/>
        </w:rPr>
        <w:t xml:space="preserve"> těchto obchodních podmínek, které má dle </w:t>
      </w:r>
      <w:r w:rsidR="00F8584A" w:rsidRPr="00D517CD">
        <w:rPr>
          <w:rFonts w:ascii="Palatino Linotype" w:hAnsi="Palatino Linotype" w:cs="Arial"/>
          <w:sz w:val="22"/>
          <w:szCs w:val="22"/>
        </w:rPr>
        <w:t>technické dokumentace</w:t>
      </w:r>
      <w:r w:rsidRPr="00D517CD">
        <w:rPr>
          <w:rFonts w:ascii="Palatino Linotype" w:hAnsi="Palatino Linotype" w:cs="Arial"/>
          <w:sz w:val="22"/>
          <w:szCs w:val="22"/>
        </w:rPr>
        <w:t xml:space="preserve"> </w:t>
      </w:r>
      <w:smartTag w:uri="urn:schemas-microsoft-com:office:smarttags" w:element="metricconverter">
        <w:smartTagPr>
          <w:attr w:name="ProductID" w:val="1 a"/>
        </w:smartTagPr>
        <w:r w:rsidRPr="00D517CD">
          <w:rPr>
            <w:rFonts w:ascii="Palatino Linotype" w:hAnsi="Palatino Linotype" w:cs="Arial"/>
            <w:sz w:val="22"/>
            <w:szCs w:val="22"/>
          </w:rPr>
          <w:t>1 a</w:t>
        </w:r>
      </w:smartTag>
      <w:r w:rsidRPr="00D517CD">
        <w:rPr>
          <w:rFonts w:ascii="Palatino Linotype" w:hAnsi="Palatino Linotype" w:cs="Arial"/>
          <w:sz w:val="22"/>
          <w:szCs w:val="22"/>
        </w:rPr>
        <w:t xml:space="preserve"> více míst, a který tyto osoby utrpí pří jízdě nebo dopravní nehodě vozidla nebo při odstraňování poruch během dopravy.</w:t>
      </w:r>
      <w:r w:rsidR="00A47B87" w:rsidRPr="00D517CD">
        <w:rPr>
          <w:rFonts w:ascii="Palatino Linotype" w:hAnsi="Palatino Linotype" w:cs="Arial"/>
          <w:sz w:val="22"/>
          <w:szCs w:val="22"/>
        </w:rPr>
        <w:t xml:space="preserve"> Pojištění se sjednává u vybraných vozidel dle Přílohy č. </w:t>
      </w:r>
      <w:r w:rsidR="00971D67" w:rsidRPr="00D517CD">
        <w:rPr>
          <w:rFonts w:ascii="Palatino Linotype" w:hAnsi="Palatino Linotype" w:cs="Arial"/>
          <w:sz w:val="22"/>
          <w:szCs w:val="22"/>
        </w:rPr>
        <w:t>1</w:t>
      </w:r>
      <w:r w:rsidR="00A47B87" w:rsidRPr="00D517CD">
        <w:rPr>
          <w:rFonts w:ascii="Palatino Linotype" w:hAnsi="Palatino Linotype" w:cs="Arial"/>
          <w:sz w:val="22"/>
          <w:szCs w:val="22"/>
        </w:rPr>
        <w:t xml:space="preserve"> těchto obchodních podmínek.</w:t>
      </w:r>
    </w:p>
    <w:p w14:paraId="0F2AC4EF"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Pojistné částky</w:t>
      </w:r>
    </w:p>
    <w:p w14:paraId="76D1B4A0" w14:textId="77777777" w:rsidR="00A7087B" w:rsidRPr="00D517CD" w:rsidRDefault="00A7087B" w:rsidP="00B534B7">
      <w:pPr>
        <w:rPr>
          <w:rFonts w:ascii="Palatino Linotype" w:hAnsi="Palatino Linotype" w:cs="Arial"/>
          <w:sz w:val="22"/>
          <w:szCs w:val="22"/>
        </w:rPr>
      </w:pPr>
      <w:r w:rsidRPr="00D517CD">
        <w:rPr>
          <w:rFonts w:ascii="Palatino Linotype" w:hAnsi="Palatino Linotype" w:cs="Arial"/>
          <w:sz w:val="22"/>
          <w:szCs w:val="22"/>
        </w:rPr>
        <w:t>Minimální pojistné částky pro 1 sedadlo:</w:t>
      </w:r>
    </w:p>
    <w:p w14:paraId="660B59FB" w14:textId="77777777" w:rsidR="00A7087B" w:rsidRPr="00D517CD" w:rsidRDefault="00A7087B" w:rsidP="00B534B7">
      <w:pPr>
        <w:pStyle w:val="Odstavecseseznamem"/>
        <w:numPr>
          <w:ilvl w:val="0"/>
          <w:numId w:val="2"/>
        </w:numPr>
        <w:ind w:left="1208" w:hanging="357"/>
        <w:rPr>
          <w:rFonts w:ascii="Palatino Linotype" w:hAnsi="Palatino Linotype" w:cs="Arial"/>
          <w:sz w:val="22"/>
          <w:szCs w:val="22"/>
        </w:rPr>
      </w:pPr>
      <w:r w:rsidRPr="00D517CD">
        <w:rPr>
          <w:rFonts w:ascii="Palatino Linotype" w:hAnsi="Palatino Linotype" w:cs="Arial"/>
          <w:sz w:val="22"/>
          <w:szCs w:val="22"/>
        </w:rPr>
        <w:t xml:space="preserve">pro případ smrti úrazem </w:t>
      </w:r>
      <w:r w:rsidR="00D66C93" w:rsidRPr="00D517CD">
        <w:rPr>
          <w:rFonts w:ascii="Palatino Linotype" w:hAnsi="Palatino Linotype" w:cs="Arial"/>
          <w:sz w:val="22"/>
          <w:szCs w:val="22"/>
        </w:rPr>
        <w:t>2</w:t>
      </w:r>
      <w:r w:rsidRPr="00D517CD">
        <w:rPr>
          <w:rFonts w:ascii="Palatino Linotype" w:hAnsi="Palatino Linotype" w:cs="Arial"/>
          <w:sz w:val="22"/>
          <w:szCs w:val="22"/>
        </w:rPr>
        <w:t>00 000,- Kč</w:t>
      </w:r>
    </w:p>
    <w:p w14:paraId="5C87D5C3" w14:textId="77777777" w:rsidR="00A7087B" w:rsidRDefault="00A7087B" w:rsidP="00B534B7">
      <w:pPr>
        <w:pStyle w:val="Odstavecseseznamem"/>
        <w:numPr>
          <w:ilvl w:val="0"/>
          <w:numId w:val="2"/>
        </w:numPr>
        <w:rPr>
          <w:rFonts w:ascii="Palatino Linotype" w:hAnsi="Palatino Linotype" w:cs="Arial"/>
          <w:sz w:val="22"/>
          <w:szCs w:val="22"/>
        </w:rPr>
      </w:pPr>
      <w:r w:rsidRPr="00D517CD">
        <w:rPr>
          <w:rFonts w:ascii="Palatino Linotype" w:hAnsi="Palatino Linotype" w:cs="Arial"/>
          <w:sz w:val="22"/>
          <w:szCs w:val="22"/>
        </w:rPr>
        <w:t xml:space="preserve">pro případ trvalých následků úrazu </w:t>
      </w:r>
      <w:r w:rsidR="00D66C93" w:rsidRPr="00D517CD">
        <w:rPr>
          <w:rFonts w:ascii="Palatino Linotype" w:hAnsi="Palatino Linotype" w:cs="Arial"/>
          <w:sz w:val="22"/>
          <w:szCs w:val="22"/>
        </w:rPr>
        <w:t>4</w:t>
      </w:r>
      <w:r w:rsidRPr="00D517CD">
        <w:rPr>
          <w:rFonts w:ascii="Palatino Linotype" w:hAnsi="Palatino Linotype" w:cs="Arial"/>
          <w:sz w:val="22"/>
          <w:szCs w:val="22"/>
        </w:rPr>
        <w:t>00 000,- Kč</w:t>
      </w:r>
    </w:p>
    <w:p w14:paraId="08B1FD32" w14:textId="77777777" w:rsidR="00805174" w:rsidRPr="00D517CD" w:rsidRDefault="00805174" w:rsidP="00805174">
      <w:pPr>
        <w:pStyle w:val="Odstavecseseznamem"/>
        <w:ind w:left="1211"/>
        <w:rPr>
          <w:rFonts w:ascii="Palatino Linotype" w:hAnsi="Palatino Linotype" w:cs="Arial"/>
          <w:sz w:val="22"/>
          <w:szCs w:val="22"/>
        </w:rPr>
      </w:pPr>
    </w:p>
    <w:p w14:paraId="144FF160"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 xml:space="preserve">Spoluúčast </w:t>
      </w:r>
    </w:p>
    <w:p w14:paraId="59EBA213" w14:textId="77777777" w:rsidR="00A7087B" w:rsidRPr="00D517CD" w:rsidRDefault="00A7087B" w:rsidP="00B534B7">
      <w:pPr>
        <w:rPr>
          <w:rFonts w:ascii="Palatino Linotype" w:hAnsi="Palatino Linotype" w:cs="Arial"/>
          <w:sz w:val="22"/>
          <w:szCs w:val="22"/>
        </w:rPr>
      </w:pPr>
      <w:r w:rsidRPr="00D517CD">
        <w:rPr>
          <w:rFonts w:ascii="Palatino Linotype" w:hAnsi="Palatino Linotype" w:cs="Arial"/>
          <w:sz w:val="22"/>
          <w:szCs w:val="22"/>
        </w:rPr>
        <w:t>Pojištění se sjednává bez spoluúčasti.</w:t>
      </w:r>
    </w:p>
    <w:p w14:paraId="3FB5A791" w14:textId="77777777" w:rsidR="00A7087B" w:rsidRPr="00D517CD" w:rsidRDefault="00A7087B" w:rsidP="00B534B7">
      <w:pPr>
        <w:pStyle w:val="Nadpis3"/>
        <w:rPr>
          <w:rFonts w:ascii="Palatino Linotype" w:hAnsi="Palatino Linotype" w:cs="Arial"/>
          <w:sz w:val="22"/>
        </w:rPr>
      </w:pPr>
      <w:r w:rsidRPr="00D517CD">
        <w:rPr>
          <w:rFonts w:ascii="Palatino Linotype" w:hAnsi="Palatino Linotype" w:cs="Arial"/>
          <w:sz w:val="22"/>
        </w:rPr>
        <w:t xml:space="preserve">Územní platnost </w:t>
      </w:r>
    </w:p>
    <w:p w14:paraId="36EA3866" w14:textId="1B7C13C8" w:rsidR="00A7087B" w:rsidRPr="00F47935" w:rsidRDefault="00A7087B" w:rsidP="00B534B7">
      <w:pPr>
        <w:rPr>
          <w:rFonts w:ascii="Palatino Linotype" w:hAnsi="Palatino Linotype" w:cs="Arial"/>
          <w:sz w:val="22"/>
          <w:szCs w:val="22"/>
        </w:rPr>
      </w:pPr>
      <w:r w:rsidRPr="00D517CD">
        <w:rPr>
          <w:rFonts w:ascii="Palatino Linotype" w:hAnsi="Palatino Linotype" w:cs="Arial"/>
          <w:sz w:val="22"/>
          <w:szCs w:val="22"/>
        </w:rPr>
        <w:t>Geografické území Evropy</w:t>
      </w:r>
      <w:r w:rsidR="003A158D" w:rsidRPr="00D517CD">
        <w:rPr>
          <w:rFonts w:ascii="Palatino Linotype" w:hAnsi="Palatino Linotype" w:cs="Arial"/>
          <w:sz w:val="22"/>
          <w:szCs w:val="22"/>
        </w:rPr>
        <w:t xml:space="preserve"> vyjma Ruska a Běloruska</w:t>
      </w:r>
      <w:r w:rsidRPr="00D517CD">
        <w:rPr>
          <w:rFonts w:ascii="Palatino Linotype" w:hAnsi="Palatino Linotype" w:cs="Arial"/>
          <w:sz w:val="22"/>
          <w:szCs w:val="22"/>
        </w:rPr>
        <w:t>.</w:t>
      </w:r>
      <w:r w:rsidRPr="00F47935">
        <w:rPr>
          <w:rFonts w:ascii="Palatino Linotype" w:hAnsi="Palatino Linotype" w:cs="Arial"/>
          <w:sz w:val="22"/>
          <w:szCs w:val="22"/>
        </w:rPr>
        <w:t xml:space="preserve">  </w:t>
      </w:r>
    </w:p>
    <w:p w14:paraId="528268E9"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Zvláštní ujednání</w:t>
      </w:r>
    </w:p>
    <w:p w14:paraId="6FFF93E6" w14:textId="25CF00DC" w:rsidR="0048633A" w:rsidRPr="00D517CD" w:rsidRDefault="00A7087B" w:rsidP="00E46BBB">
      <w:pPr>
        <w:spacing w:after="240"/>
        <w:rPr>
          <w:rFonts w:ascii="Palatino Linotype" w:hAnsi="Palatino Linotype" w:cs="Arial"/>
          <w:sz w:val="22"/>
          <w:szCs w:val="22"/>
        </w:rPr>
      </w:pPr>
      <w:r w:rsidRPr="00D517CD">
        <w:rPr>
          <w:rFonts w:ascii="Palatino Linotype" w:hAnsi="Palatino Linotype" w:cs="Arial"/>
          <w:sz w:val="22"/>
          <w:szCs w:val="22"/>
        </w:rPr>
        <w:t xml:space="preserve">Pojištění se vztahuje na úrazy osob při jízdě, uvádění motoru vozidla do chodu před zahájením jízdy, nastupování do vozidla, vystupování z vozidla, krátkodobé zastávce vozidla, odstraňování běžných poruch vozidla, vznikly-li tyto během jízdy. Pojištění se sjednává na všechna sedadla a místa ke stání, případně lůžka (dle </w:t>
      </w:r>
      <w:r w:rsidR="00E70772" w:rsidRPr="00D517CD">
        <w:rPr>
          <w:rFonts w:ascii="Palatino Linotype" w:hAnsi="Palatino Linotype" w:cs="Arial"/>
          <w:sz w:val="22"/>
          <w:szCs w:val="22"/>
        </w:rPr>
        <w:t>technické dokumentace</w:t>
      </w:r>
      <w:r w:rsidRPr="00D517CD">
        <w:rPr>
          <w:rFonts w:ascii="Palatino Linotype" w:hAnsi="Palatino Linotype" w:cs="Arial"/>
          <w:sz w:val="22"/>
          <w:szCs w:val="22"/>
        </w:rPr>
        <w:t xml:space="preserve"> vozidla). Pojištění se sjednává také na speciálně upravený počet míst u vozidel autoškol. </w:t>
      </w:r>
    </w:p>
    <w:p w14:paraId="5AC0CD36" w14:textId="529DD984" w:rsidR="002935D2" w:rsidRDefault="002935D2" w:rsidP="002935D2">
      <w:pPr>
        <w:tabs>
          <w:tab w:val="left" w:pos="-5103"/>
        </w:tabs>
        <w:spacing w:after="240"/>
        <w:rPr>
          <w:rFonts w:ascii="Palatino Linotype" w:hAnsi="Palatino Linotype" w:cs="Arial"/>
          <w:sz w:val="22"/>
          <w:szCs w:val="22"/>
        </w:rPr>
      </w:pPr>
      <w:bookmarkStart w:id="13" w:name="_Toc182663650"/>
      <w:bookmarkStart w:id="14" w:name="_Toc247333923"/>
      <w:r w:rsidRPr="00D517CD">
        <w:rPr>
          <w:rFonts w:ascii="Palatino Linotype" w:hAnsi="Palatino Linotype" w:cs="Arial"/>
          <w:sz w:val="22"/>
          <w:szCs w:val="22"/>
        </w:rPr>
        <w:t>Pojištění se taktéž vztahuje na vozidlo, blíže specifikované v pojistné smlouvě, technicky způsobilé k provozu na pozemních komunikacích, kterému není přidělována registrační značka</w:t>
      </w:r>
      <w:r>
        <w:rPr>
          <w:rFonts w:ascii="Palatino Linotype" w:hAnsi="Palatino Linotype" w:cs="Arial"/>
          <w:sz w:val="22"/>
          <w:szCs w:val="22"/>
        </w:rPr>
        <w:t xml:space="preserve"> (vozidla, </w:t>
      </w:r>
      <w:r w:rsidR="00A40275">
        <w:rPr>
          <w:rFonts w:ascii="Palatino Linotype" w:hAnsi="Palatino Linotype" w:cs="Arial"/>
          <w:sz w:val="22"/>
          <w:szCs w:val="22"/>
        </w:rPr>
        <w:t>u kterých není povinnost je registrovat</w:t>
      </w:r>
      <w:r>
        <w:rPr>
          <w:rFonts w:ascii="Palatino Linotype" w:hAnsi="Palatino Linotype" w:cs="Arial"/>
          <w:sz w:val="22"/>
          <w:szCs w:val="22"/>
        </w:rPr>
        <w:t>)</w:t>
      </w:r>
      <w:r w:rsidRPr="00D517CD">
        <w:rPr>
          <w:rFonts w:ascii="Palatino Linotype" w:hAnsi="Palatino Linotype" w:cs="Arial"/>
          <w:sz w:val="22"/>
          <w:szCs w:val="22"/>
        </w:rPr>
        <w:t>. Pokud registrační značka přidělena je, nemusí být v době vzniku pojistné události na vozidle umístěna.</w:t>
      </w:r>
      <w:r>
        <w:rPr>
          <w:rFonts w:ascii="Palatino Linotype" w:hAnsi="Palatino Linotype" w:cs="Arial"/>
          <w:sz w:val="22"/>
          <w:szCs w:val="22"/>
        </w:rPr>
        <w:t xml:space="preserve"> Pojištění se taktéž vztahuje na zcela nová vozidla, zakoupená v</w:t>
      </w:r>
      <w:r w:rsidR="004261C3">
        <w:rPr>
          <w:rFonts w:ascii="Palatino Linotype" w:hAnsi="Palatino Linotype" w:cs="Arial"/>
          <w:sz w:val="22"/>
          <w:szCs w:val="22"/>
        </w:rPr>
        <w:t> </w:t>
      </w:r>
      <w:r>
        <w:rPr>
          <w:rFonts w:ascii="Palatino Linotype" w:hAnsi="Palatino Linotype" w:cs="Arial"/>
          <w:sz w:val="22"/>
          <w:szCs w:val="22"/>
        </w:rPr>
        <w:t>ČR</w:t>
      </w:r>
      <w:r w:rsidR="004261C3">
        <w:rPr>
          <w:rFonts w:ascii="Palatino Linotype" w:hAnsi="Palatino Linotype" w:cs="Arial"/>
          <w:sz w:val="22"/>
          <w:szCs w:val="22"/>
        </w:rPr>
        <w:t xml:space="preserve">, </w:t>
      </w:r>
      <w:r w:rsidR="00A40275">
        <w:rPr>
          <w:rFonts w:ascii="Palatino Linotype" w:hAnsi="Palatino Linotype" w:cs="Arial"/>
          <w:sz w:val="22"/>
          <w:szCs w:val="22"/>
        </w:rPr>
        <w:t>dosud neregistrovaná, která mají platný</w:t>
      </w:r>
      <w:r>
        <w:rPr>
          <w:rFonts w:ascii="Palatino Linotype" w:hAnsi="Palatino Linotype" w:cs="Arial"/>
          <w:sz w:val="22"/>
          <w:szCs w:val="22"/>
        </w:rPr>
        <w:t xml:space="preserve"> </w:t>
      </w:r>
      <w:proofErr w:type="spellStart"/>
      <w:r>
        <w:rPr>
          <w:rFonts w:ascii="Palatino Linotype" w:hAnsi="Palatino Linotype" w:cs="Arial"/>
          <w:sz w:val="22"/>
          <w:szCs w:val="22"/>
        </w:rPr>
        <w:t>CoC</w:t>
      </w:r>
      <w:proofErr w:type="spellEnd"/>
      <w:r>
        <w:rPr>
          <w:rFonts w:ascii="Palatino Linotype" w:hAnsi="Palatino Linotype" w:cs="Arial"/>
          <w:sz w:val="22"/>
          <w:szCs w:val="22"/>
        </w:rPr>
        <w:t xml:space="preserve"> list.</w:t>
      </w:r>
    </w:p>
    <w:p w14:paraId="1DDC06BA" w14:textId="77777777" w:rsidR="000E0FA1" w:rsidRPr="003E75AC" w:rsidRDefault="000E0FA1" w:rsidP="000E0FA1">
      <w:pPr>
        <w:spacing w:after="240"/>
        <w:rPr>
          <w:rFonts w:ascii="Palatino Linotype" w:hAnsi="Palatino Linotype" w:cs="Arial"/>
          <w:sz w:val="22"/>
          <w:szCs w:val="22"/>
        </w:rPr>
      </w:pPr>
      <w:r w:rsidRPr="003E75AC">
        <w:rPr>
          <w:rFonts w:ascii="Palatino Linotype" w:hAnsi="Palatino Linotype" w:cs="Arial"/>
          <w:sz w:val="22"/>
          <w:szCs w:val="22"/>
        </w:rPr>
        <w:t>Pojištění se vztahuje na úrazy osob v souvislosti s provozem vozidel za účelem výcviku řidičů, při účasti na testovacích jízdách, zkušebních, tréninkových a zážitkových jízdách, školách smyku a jízdách na uzavřeném okruhu, při kterých řidič není povinen dodržovat pravidla provozu na pozemních komunikacích. Před účastí na výše vyjmenovaných typech jízd bude zadavatel o užití vozidla k tomuto účelu předem informovat.</w:t>
      </w:r>
    </w:p>
    <w:p w14:paraId="51F0597C" w14:textId="53BAE866" w:rsidR="00A7087B" w:rsidRPr="00F47935" w:rsidRDefault="00A7087B" w:rsidP="00925438">
      <w:pPr>
        <w:pStyle w:val="Nadpis2"/>
        <w:tabs>
          <w:tab w:val="clear" w:pos="1135"/>
          <w:tab w:val="num" w:pos="1276"/>
        </w:tabs>
        <w:ind w:left="851" w:hanging="567"/>
        <w:rPr>
          <w:rFonts w:ascii="Palatino Linotype" w:hAnsi="Palatino Linotype" w:cs="Arial"/>
          <w:szCs w:val="22"/>
        </w:rPr>
      </w:pPr>
      <w:r w:rsidRPr="00F47935">
        <w:rPr>
          <w:rFonts w:ascii="Palatino Linotype" w:hAnsi="Palatino Linotype" w:cs="Arial"/>
          <w:szCs w:val="22"/>
        </w:rPr>
        <w:lastRenderedPageBreak/>
        <w:t xml:space="preserve">Pojištění </w:t>
      </w:r>
      <w:r w:rsidR="003A158D" w:rsidRPr="00F47935">
        <w:rPr>
          <w:rFonts w:ascii="Palatino Linotype" w:hAnsi="Palatino Linotype" w:cs="Arial"/>
          <w:szCs w:val="22"/>
        </w:rPr>
        <w:t xml:space="preserve">všech </w:t>
      </w:r>
      <w:r w:rsidRPr="00F47935">
        <w:rPr>
          <w:rFonts w:ascii="Palatino Linotype" w:hAnsi="Palatino Linotype" w:cs="Arial"/>
          <w:szCs w:val="22"/>
        </w:rPr>
        <w:t>skel</w:t>
      </w:r>
      <w:bookmarkEnd w:id="13"/>
      <w:bookmarkEnd w:id="14"/>
      <w:r w:rsidR="00EB4CAC" w:rsidRPr="00F47935">
        <w:rPr>
          <w:rFonts w:ascii="Palatino Linotype" w:hAnsi="Palatino Linotype" w:cs="Arial"/>
          <w:szCs w:val="22"/>
        </w:rPr>
        <w:t xml:space="preserve"> vozidla</w:t>
      </w:r>
    </w:p>
    <w:p w14:paraId="0CA5BDF8"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Předmět pojištění</w:t>
      </w:r>
    </w:p>
    <w:p w14:paraId="4D75975A" w14:textId="2BCC73CA" w:rsidR="00A7087B" w:rsidRPr="00F47935" w:rsidRDefault="00446E06" w:rsidP="00B534B7">
      <w:pPr>
        <w:rPr>
          <w:rFonts w:ascii="Palatino Linotype" w:hAnsi="Palatino Linotype" w:cs="Arial"/>
          <w:sz w:val="22"/>
          <w:szCs w:val="22"/>
        </w:rPr>
      </w:pPr>
      <w:r w:rsidRPr="00F47935">
        <w:rPr>
          <w:rFonts w:ascii="Palatino Linotype" w:hAnsi="Palatino Linotype" w:cs="Arial"/>
          <w:sz w:val="22"/>
          <w:szCs w:val="22"/>
        </w:rPr>
        <w:t xml:space="preserve">Všechna skla </w:t>
      </w:r>
      <w:r w:rsidR="00A7087B" w:rsidRPr="00F47935">
        <w:rPr>
          <w:rFonts w:ascii="Palatino Linotype" w:hAnsi="Palatino Linotype" w:cs="Arial"/>
          <w:sz w:val="22"/>
          <w:szCs w:val="22"/>
        </w:rPr>
        <w:t xml:space="preserve">vozidel definovaných v Příloze </w:t>
      </w:r>
      <w:r w:rsidR="00A7087B" w:rsidRPr="00CC2E51">
        <w:rPr>
          <w:rFonts w:ascii="Palatino Linotype" w:hAnsi="Palatino Linotype" w:cs="Arial"/>
          <w:sz w:val="22"/>
          <w:szCs w:val="22"/>
        </w:rPr>
        <w:t xml:space="preserve">č. </w:t>
      </w:r>
      <w:r w:rsidR="00971D67" w:rsidRPr="00CC2E51">
        <w:rPr>
          <w:rFonts w:ascii="Palatino Linotype" w:hAnsi="Palatino Linotype" w:cs="Arial"/>
          <w:sz w:val="22"/>
          <w:szCs w:val="22"/>
        </w:rPr>
        <w:t>1</w:t>
      </w:r>
      <w:r w:rsidR="00A7087B" w:rsidRPr="00CC2E51">
        <w:rPr>
          <w:rFonts w:ascii="Palatino Linotype" w:hAnsi="Palatino Linotype" w:cs="Arial"/>
          <w:sz w:val="22"/>
          <w:szCs w:val="22"/>
        </w:rPr>
        <w:t xml:space="preserve"> těchto</w:t>
      </w:r>
      <w:r w:rsidR="00A7087B" w:rsidRPr="00F47935">
        <w:rPr>
          <w:rFonts w:ascii="Palatino Linotype" w:hAnsi="Palatino Linotype" w:cs="Arial"/>
          <w:sz w:val="22"/>
          <w:szCs w:val="22"/>
        </w:rPr>
        <w:t xml:space="preserve"> obchodních podmínek</w:t>
      </w:r>
      <w:r w:rsidR="00D66C93" w:rsidRPr="00F47935">
        <w:rPr>
          <w:rFonts w:ascii="Palatino Linotype" w:hAnsi="Palatino Linotype" w:cs="Arial"/>
          <w:sz w:val="22"/>
          <w:szCs w:val="22"/>
        </w:rPr>
        <w:t>.</w:t>
      </w:r>
    </w:p>
    <w:p w14:paraId="333C43BE" w14:textId="77777777" w:rsidR="00476791" w:rsidRPr="00F47935" w:rsidRDefault="00A7087B" w:rsidP="00476791">
      <w:pPr>
        <w:pStyle w:val="Nadpis3"/>
        <w:rPr>
          <w:rFonts w:ascii="Palatino Linotype" w:hAnsi="Palatino Linotype" w:cs="Arial"/>
          <w:sz w:val="22"/>
        </w:rPr>
      </w:pPr>
      <w:r w:rsidRPr="00F47935">
        <w:rPr>
          <w:rFonts w:ascii="Palatino Linotype" w:hAnsi="Palatino Linotype" w:cs="Arial"/>
          <w:sz w:val="22"/>
        </w:rPr>
        <w:t>Rozsah pojištění</w:t>
      </w:r>
    </w:p>
    <w:p w14:paraId="29FFA704" w14:textId="77777777" w:rsidR="00A7087B" w:rsidRPr="00F47935" w:rsidRDefault="00476791" w:rsidP="00476791">
      <w:pPr>
        <w:rPr>
          <w:rFonts w:ascii="Palatino Linotype" w:hAnsi="Palatino Linotype" w:cs="Arial"/>
          <w:sz w:val="22"/>
          <w:szCs w:val="22"/>
        </w:rPr>
      </w:pPr>
      <w:r w:rsidRPr="005C5771">
        <w:rPr>
          <w:rFonts w:ascii="Palatino Linotype" w:hAnsi="Palatino Linotype" w:cs="Arial"/>
          <w:sz w:val="22"/>
          <w:szCs w:val="22"/>
        </w:rPr>
        <w:t>Pojištění se vztahuje na náhlé poškození nebo zničení pojištěných skel havárií, živelní událostí nebo úmyslným jednáním třetí osoby</w:t>
      </w:r>
      <w:r w:rsidR="00EB4CAC" w:rsidRPr="005C5771">
        <w:rPr>
          <w:rFonts w:ascii="Palatino Linotype" w:hAnsi="Palatino Linotype" w:cs="Arial"/>
          <w:sz w:val="22"/>
          <w:szCs w:val="22"/>
        </w:rPr>
        <w:t>.</w:t>
      </w:r>
    </w:p>
    <w:p w14:paraId="4FB719DF"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Limit plnění/ vozidlo</w:t>
      </w:r>
    </w:p>
    <w:p w14:paraId="3E685C8C" w14:textId="2EF4C073" w:rsidR="00A7087B" w:rsidRPr="00F47935" w:rsidRDefault="00316926" w:rsidP="00F6010C">
      <w:pPr>
        <w:rPr>
          <w:rFonts w:ascii="Palatino Linotype" w:hAnsi="Palatino Linotype" w:cs="Arial"/>
          <w:sz w:val="22"/>
          <w:szCs w:val="22"/>
        </w:rPr>
      </w:pPr>
      <w:r w:rsidRPr="00316926">
        <w:rPr>
          <w:rFonts w:ascii="Palatino Linotype" w:hAnsi="Palatino Linotype" w:cs="Arial"/>
          <w:sz w:val="22"/>
          <w:szCs w:val="22"/>
        </w:rPr>
        <w:t xml:space="preserve">Výše limitu plnění je definována v Příloze č. 1 těchto obchodních </w:t>
      </w:r>
      <w:r w:rsidRPr="004261C3">
        <w:rPr>
          <w:rFonts w:ascii="Palatino Linotype" w:hAnsi="Palatino Linotype" w:cs="Arial"/>
          <w:sz w:val="22"/>
          <w:szCs w:val="22"/>
        </w:rPr>
        <w:t>podmínek</w:t>
      </w:r>
      <w:r w:rsidR="00446E06" w:rsidRPr="004261C3">
        <w:rPr>
          <w:rFonts w:ascii="Palatino Linotype" w:hAnsi="Palatino Linotype" w:cs="Arial"/>
          <w:sz w:val="22"/>
          <w:szCs w:val="22"/>
        </w:rPr>
        <w:t>.</w:t>
      </w:r>
    </w:p>
    <w:p w14:paraId="2DA5EF1A" w14:textId="108CC50C" w:rsidR="00A7087B" w:rsidRPr="005C5771" w:rsidRDefault="00545FDB" w:rsidP="001200C6">
      <w:pPr>
        <w:rPr>
          <w:rFonts w:ascii="Palatino Linotype" w:hAnsi="Palatino Linotype" w:cs="Arial"/>
          <w:sz w:val="22"/>
          <w:szCs w:val="22"/>
        </w:rPr>
      </w:pPr>
      <w:r>
        <w:rPr>
          <w:rFonts w:ascii="Palatino Linotype" w:hAnsi="Palatino Linotype" w:cs="Arial"/>
          <w:sz w:val="22"/>
          <w:szCs w:val="22"/>
        </w:rPr>
        <w:t>Pojistník</w:t>
      </w:r>
      <w:r w:rsidR="00A7087B" w:rsidRPr="005C5771">
        <w:rPr>
          <w:rFonts w:ascii="Palatino Linotype" w:hAnsi="Palatino Linotype" w:cs="Arial"/>
          <w:sz w:val="22"/>
          <w:szCs w:val="22"/>
        </w:rPr>
        <w:t xml:space="preserve"> neakceptuje omezení pojistného plnění pro všechny škody vyplacené z pojistných událostí za jedno vozidlo během pojistného období (za 12 měsíců), resp. </w:t>
      </w:r>
      <w:r w:rsidR="009F3012" w:rsidRPr="005C5771">
        <w:rPr>
          <w:rFonts w:ascii="Palatino Linotype" w:hAnsi="Palatino Linotype" w:cs="Arial"/>
          <w:sz w:val="22"/>
          <w:szCs w:val="22"/>
        </w:rPr>
        <w:t>limit plnění</w:t>
      </w:r>
      <w:r w:rsidR="00A7087B" w:rsidRPr="005C5771">
        <w:rPr>
          <w:rFonts w:ascii="Palatino Linotype" w:hAnsi="Palatino Linotype" w:cs="Arial"/>
          <w:sz w:val="22"/>
          <w:szCs w:val="22"/>
        </w:rPr>
        <w:t xml:space="preserve"> se nespotřebovává.</w:t>
      </w:r>
    </w:p>
    <w:p w14:paraId="51D29428" w14:textId="77777777" w:rsidR="00A7087B" w:rsidRPr="005C5771" w:rsidRDefault="00A7087B" w:rsidP="00B534B7">
      <w:pPr>
        <w:pStyle w:val="Nadpis3"/>
        <w:rPr>
          <w:rFonts w:ascii="Palatino Linotype" w:hAnsi="Palatino Linotype" w:cs="Arial"/>
          <w:sz w:val="22"/>
        </w:rPr>
      </w:pPr>
      <w:r w:rsidRPr="005C5771">
        <w:rPr>
          <w:rFonts w:ascii="Palatino Linotype" w:hAnsi="Palatino Linotype" w:cs="Arial"/>
          <w:sz w:val="22"/>
        </w:rPr>
        <w:t>Pojistná hodnota</w:t>
      </w:r>
    </w:p>
    <w:p w14:paraId="168AA8F6" w14:textId="3BE5362B" w:rsidR="00A7087B" w:rsidRPr="005C5771" w:rsidRDefault="00A7087B" w:rsidP="00B534B7">
      <w:pPr>
        <w:rPr>
          <w:rFonts w:ascii="Palatino Linotype" w:hAnsi="Palatino Linotype" w:cs="Arial"/>
          <w:sz w:val="22"/>
          <w:szCs w:val="22"/>
        </w:rPr>
      </w:pPr>
      <w:r w:rsidRPr="005C5771">
        <w:rPr>
          <w:rFonts w:ascii="Palatino Linotype" w:hAnsi="Palatino Linotype" w:cs="Arial"/>
          <w:sz w:val="22"/>
          <w:szCs w:val="22"/>
        </w:rPr>
        <w:t>Nová cena</w:t>
      </w:r>
      <w:r w:rsidR="00FA75D4" w:rsidRPr="005C5771">
        <w:rPr>
          <w:rFonts w:ascii="Palatino Linotype" w:hAnsi="Palatino Linotype" w:cs="Arial"/>
          <w:sz w:val="22"/>
          <w:szCs w:val="22"/>
        </w:rPr>
        <w:t>.</w:t>
      </w:r>
    </w:p>
    <w:p w14:paraId="6080A475" w14:textId="77777777" w:rsidR="00A7087B" w:rsidRPr="005C5771" w:rsidRDefault="00A7087B" w:rsidP="00B534B7">
      <w:pPr>
        <w:pStyle w:val="Nadpis3"/>
        <w:rPr>
          <w:rFonts w:ascii="Palatino Linotype" w:hAnsi="Palatino Linotype" w:cs="Arial"/>
          <w:sz w:val="22"/>
        </w:rPr>
      </w:pPr>
      <w:r w:rsidRPr="005C5771">
        <w:rPr>
          <w:rFonts w:ascii="Palatino Linotype" w:hAnsi="Palatino Linotype" w:cs="Arial"/>
          <w:sz w:val="22"/>
        </w:rPr>
        <w:t>Spoluúčast</w:t>
      </w:r>
    </w:p>
    <w:p w14:paraId="4231F418" w14:textId="77777777" w:rsidR="00A7087B" w:rsidRPr="00F47935" w:rsidRDefault="00A7087B" w:rsidP="00B534B7">
      <w:pPr>
        <w:rPr>
          <w:rFonts w:ascii="Palatino Linotype" w:hAnsi="Palatino Linotype" w:cs="Arial"/>
          <w:sz w:val="22"/>
          <w:szCs w:val="22"/>
        </w:rPr>
      </w:pPr>
      <w:r w:rsidRPr="005C5771">
        <w:rPr>
          <w:rFonts w:ascii="Palatino Linotype" w:hAnsi="Palatino Linotype" w:cs="Arial"/>
          <w:sz w:val="22"/>
          <w:szCs w:val="22"/>
        </w:rPr>
        <w:t>Pojištění se sjednává bez spoluúčasti.</w:t>
      </w:r>
    </w:p>
    <w:p w14:paraId="116E2386"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Územní platnost</w:t>
      </w:r>
    </w:p>
    <w:p w14:paraId="4955873F" w14:textId="490A4022" w:rsidR="00A7087B" w:rsidRPr="00F47935" w:rsidRDefault="00A7087B" w:rsidP="00B534B7">
      <w:pPr>
        <w:rPr>
          <w:rFonts w:ascii="Palatino Linotype" w:hAnsi="Palatino Linotype" w:cs="Arial"/>
          <w:sz w:val="22"/>
          <w:szCs w:val="22"/>
        </w:rPr>
      </w:pPr>
      <w:r w:rsidRPr="005C5771">
        <w:rPr>
          <w:rFonts w:ascii="Palatino Linotype" w:hAnsi="Palatino Linotype" w:cs="Arial"/>
          <w:sz w:val="22"/>
          <w:szCs w:val="22"/>
        </w:rPr>
        <w:t>Geografické území Evropy</w:t>
      </w:r>
      <w:r w:rsidR="003A158D" w:rsidRPr="005C5771">
        <w:rPr>
          <w:rFonts w:ascii="Palatino Linotype" w:hAnsi="Palatino Linotype" w:cs="Arial"/>
          <w:sz w:val="22"/>
          <w:szCs w:val="22"/>
        </w:rPr>
        <w:t xml:space="preserve"> vyjma Ruska a Běloruska</w:t>
      </w:r>
      <w:r w:rsidRPr="005C5771">
        <w:rPr>
          <w:rFonts w:ascii="Palatino Linotype" w:hAnsi="Palatino Linotype" w:cs="Arial"/>
          <w:sz w:val="22"/>
          <w:szCs w:val="22"/>
        </w:rPr>
        <w:t>.</w:t>
      </w:r>
      <w:r w:rsidRPr="00F47935">
        <w:rPr>
          <w:rFonts w:ascii="Palatino Linotype" w:hAnsi="Palatino Linotype" w:cs="Arial"/>
          <w:sz w:val="22"/>
          <w:szCs w:val="22"/>
        </w:rPr>
        <w:t xml:space="preserve">  </w:t>
      </w:r>
    </w:p>
    <w:p w14:paraId="7132653C" w14:textId="77777777" w:rsidR="00A7087B" w:rsidRPr="00F47935" w:rsidRDefault="00A7087B" w:rsidP="00B534B7">
      <w:pPr>
        <w:pStyle w:val="Nadpis3"/>
        <w:rPr>
          <w:rFonts w:ascii="Palatino Linotype" w:hAnsi="Palatino Linotype" w:cs="Arial"/>
          <w:sz w:val="22"/>
        </w:rPr>
      </w:pPr>
      <w:r w:rsidRPr="00F47935">
        <w:rPr>
          <w:rFonts w:ascii="Palatino Linotype" w:hAnsi="Palatino Linotype" w:cs="Arial"/>
          <w:sz w:val="22"/>
        </w:rPr>
        <w:t>Zvláštní ujednání</w:t>
      </w:r>
    </w:p>
    <w:p w14:paraId="6DEF9EA9" w14:textId="67C5AFA3" w:rsidR="00FA75D4" w:rsidRPr="005C5771" w:rsidRDefault="00446E06" w:rsidP="00E46BBB">
      <w:pPr>
        <w:spacing w:after="240"/>
        <w:rPr>
          <w:rFonts w:ascii="Palatino Linotype" w:hAnsi="Palatino Linotype" w:cs="Arial"/>
          <w:sz w:val="22"/>
          <w:szCs w:val="22"/>
        </w:rPr>
      </w:pPr>
      <w:r w:rsidRPr="005C5771">
        <w:rPr>
          <w:rFonts w:ascii="Palatino Linotype" w:hAnsi="Palatino Linotype" w:cs="Arial"/>
          <w:sz w:val="22"/>
          <w:szCs w:val="22"/>
        </w:rPr>
        <w:t xml:space="preserve">Pojištění se vztahuje i na škody na věcech </w:t>
      </w:r>
      <w:r w:rsidR="00ED6BA5" w:rsidRPr="005C5771">
        <w:rPr>
          <w:rFonts w:ascii="Palatino Linotype" w:hAnsi="Palatino Linotype" w:cs="Arial"/>
          <w:sz w:val="22"/>
          <w:szCs w:val="22"/>
        </w:rPr>
        <w:t>pevně spojených</w:t>
      </w:r>
      <w:r w:rsidR="007466CD" w:rsidRPr="005C5771">
        <w:rPr>
          <w:rFonts w:ascii="Palatino Linotype" w:hAnsi="Palatino Linotype" w:cs="Arial"/>
          <w:sz w:val="22"/>
          <w:szCs w:val="22"/>
        </w:rPr>
        <w:t xml:space="preserve"> v době pojistné události </w:t>
      </w:r>
      <w:r w:rsidR="00ED6BA5" w:rsidRPr="005C5771">
        <w:rPr>
          <w:rFonts w:ascii="Palatino Linotype" w:hAnsi="Palatino Linotype" w:cs="Arial"/>
          <w:sz w:val="22"/>
          <w:szCs w:val="22"/>
        </w:rPr>
        <w:t>se skly</w:t>
      </w:r>
      <w:r w:rsidRPr="005C5771">
        <w:rPr>
          <w:rFonts w:ascii="Palatino Linotype" w:hAnsi="Palatino Linotype" w:cs="Arial"/>
          <w:sz w:val="22"/>
          <w:szCs w:val="22"/>
        </w:rPr>
        <w:t xml:space="preserve"> (jako např. dálniční známka, ochranné fólie, tónování skel, </w:t>
      </w:r>
      <w:r w:rsidR="007466CD" w:rsidRPr="005C5771">
        <w:rPr>
          <w:rFonts w:ascii="Palatino Linotype" w:hAnsi="Palatino Linotype" w:cs="Arial"/>
          <w:sz w:val="22"/>
          <w:szCs w:val="22"/>
        </w:rPr>
        <w:t>polepy apod.</w:t>
      </w:r>
      <w:r w:rsidRPr="005C5771">
        <w:rPr>
          <w:rFonts w:ascii="Palatino Linotype" w:hAnsi="Palatino Linotype" w:cs="Arial"/>
          <w:sz w:val="22"/>
          <w:szCs w:val="22"/>
        </w:rPr>
        <w:t>).</w:t>
      </w:r>
    </w:p>
    <w:p w14:paraId="76BAB5B7" w14:textId="47EBAA7D" w:rsidR="00A40275" w:rsidRDefault="00A40275" w:rsidP="00A40275">
      <w:pPr>
        <w:tabs>
          <w:tab w:val="left" w:pos="-5103"/>
        </w:tabs>
        <w:spacing w:after="240"/>
        <w:rPr>
          <w:rFonts w:ascii="Palatino Linotype" w:hAnsi="Palatino Linotype" w:cs="Arial"/>
          <w:sz w:val="22"/>
          <w:szCs w:val="22"/>
        </w:rPr>
      </w:pPr>
      <w:r w:rsidRPr="00D517CD">
        <w:rPr>
          <w:rFonts w:ascii="Palatino Linotype" w:hAnsi="Palatino Linotype" w:cs="Arial"/>
          <w:sz w:val="22"/>
          <w:szCs w:val="22"/>
        </w:rPr>
        <w:t>Pojištění se taktéž vztahuje na vozidlo, blíže specifikované v pojistné smlouvě, technicky způsobilé k provozu na pozemních komunikacích, kterému není přidělována registrační značka</w:t>
      </w:r>
      <w:r>
        <w:rPr>
          <w:rFonts w:ascii="Palatino Linotype" w:hAnsi="Palatino Linotype" w:cs="Arial"/>
          <w:sz w:val="22"/>
          <w:szCs w:val="22"/>
        </w:rPr>
        <w:t xml:space="preserve"> (vozidla, u kterých není povinnost je registrovat)</w:t>
      </w:r>
      <w:r w:rsidRPr="00D517CD">
        <w:rPr>
          <w:rFonts w:ascii="Palatino Linotype" w:hAnsi="Palatino Linotype" w:cs="Arial"/>
          <w:sz w:val="22"/>
          <w:szCs w:val="22"/>
        </w:rPr>
        <w:t>. Pokud registrační značka přidělena je, nemusí být v době vzniku pojistné události na vozidle umístěna.</w:t>
      </w:r>
      <w:r>
        <w:rPr>
          <w:rFonts w:ascii="Palatino Linotype" w:hAnsi="Palatino Linotype" w:cs="Arial"/>
          <w:sz w:val="22"/>
          <w:szCs w:val="22"/>
        </w:rPr>
        <w:t xml:space="preserve"> Pojištění se taktéž vztahuje na zcela nová vozidla, zakoupená v ČR, dosud neregistrovaná, která mají platný </w:t>
      </w:r>
      <w:proofErr w:type="spellStart"/>
      <w:r>
        <w:rPr>
          <w:rFonts w:ascii="Palatino Linotype" w:hAnsi="Palatino Linotype" w:cs="Arial"/>
          <w:sz w:val="22"/>
          <w:szCs w:val="22"/>
        </w:rPr>
        <w:t>CoC</w:t>
      </w:r>
      <w:proofErr w:type="spellEnd"/>
      <w:r>
        <w:rPr>
          <w:rFonts w:ascii="Palatino Linotype" w:hAnsi="Palatino Linotype" w:cs="Arial"/>
          <w:sz w:val="22"/>
          <w:szCs w:val="22"/>
        </w:rPr>
        <w:t xml:space="preserve"> list.</w:t>
      </w:r>
    </w:p>
    <w:p w14:paraId="36F84DF5" w14:textId="23619EA0" w:rsidR="00FE476B" w:rsidRPr="003E75AC" w:rsidRDefault="00FE476B" w:rsidP="00FE476B">
      <w:pPr>
        <w:spacing w:after="240"/>
        <w:rPr>
          <w:rFonts w:ascii="Palatino Linotype" w:hAnsi="Palatino Linotype" w:cs="Arial"/>
          <w:sz w:val="22"/>
          <w:szCs w:val="22"/>
        </w:rPr>
      </w:pPr>
      <w:r w:rsidRPr="003E75AC">
        <w:rPr>
          <w:rFonts w:ascii="Palatino Linotype" w:hAnsi="Palatino Linotype" w:cs="Arial"/>
          <w:sz w:val="22"/>
          <w:szCs w:val="22"/>
        </w:rPr>
        <w:t>Pojištění se vztahuje i pro případ škod v souvislosti s provozem vozidel za účelem výcviku řidičů, resp. pojištění se vztahuje na poškození / zničení vozidla nebo jeho části při účasti na testovacích jízdách, zkušebních, tréninkových a zážitkových jízdách, školách smyku a jízdách na uzavřeném okruhu, při kterých řidič není povinen dodržovat pravidla provozu na pozemních komunikacích. Před účastí na výše vyjmenovaných typech jízd bude zadavatel o užití vozidla k tomuto účelu předem informovat.</w:t>
      </w:r>
    </w:p>
    <w:p w14:paraId="2259CD5B" w14:textId="77777777" w:rsidR="00A7087B" w:rsidRPr="00F47935" w:rsidRDefault="00A7087B" w:rsidP="00925438">
      <w:pPr>
        <w:pStyle w:val="Nadpis2"/>
        <w:tabs>
          <w:tab w:val="clear" w:pos="1135"/>
          <w:tab w:val="num" w:pos="1276"/>
        </w:tabs>
        <w:ind w:left="851" w:hanging="567"/>
        <w:rPr>
          <w:rFonts w:ascii="Palatino Linotype" w:hAnsi="Palatino Linotype" w:cs="Arial"/>
          <w:szCs w:val="22"/>
        </w:rPr>
      </w:pPr>
      <w:bookmarkStart w:id="15" w:name="_Toc182663652"/>
      <w:bookmarkStart w:id="16" w:name="_Toc247333925"/>
      <w:r w:rsidRPr="00F47935">
        <w:rPr>
          <w:rFonts w:ascii="Palatino Linotype" w:hAnsi="Palatino Linotype" w:cs="Arial"/>
          <w:szCs w:val="22"/>
        </w:rPr>
        <w:t>Pojištění asistenčních služeb</w:t>
      </w:r>
      <w:bookmarkEnd w:id="15"/>
      <w:bookmarkEnd w:id="16"/>
    </w:p>
    <w:p w14:paraId="6A27F213" w14:textId="6F30BC8D" w:rsidR="00A7087B" w:rsidRPr="00805174" w:rsidRDefault="00A7087B" w:rsidP="00B534B7">
      <w:pPr>
        <w:pStyle w:val="Nadpis3"/>
        <w:rPr>
          <w:rFonts w:ascii="Palatino Linotype" w:hAnsi="Palatino Linotype" w:cs="Arial"/>
          <w:sz w:val="22"/>
        </w:rPr>
      </w:pPr>
      <w:r w:rsidRPr="00805174">
        <w:rPr>
          <w:rFonts w:ascii="Palatino Linotype" w:hAnsi="Palatino Linotype" w:cs="Arial"/>
          <w:sz w:val="22"/>
        </w:rPr>
        <w:t>Rozsah asistenčních služeb:</w:t>
      </w:r>
      <w:r w:rsidR="002C68A3" w:rsidRPr="00805174">
        <w:rPr>
          <w:rFonts w:ascii="Palatino Linotype" w:hAnsi="Palatino Linotype" w:cs="Arial"/>
          <w:sz w:val="22"/>
        </w:rPr>
        <w:t xml:space="preserve"> typ asistenční služby je u jednotlivých vozidel uveden v Příloze č. 1 – Seznam vozidel (s informací „základní“).</w:t>
      </w:r>
    </w:p>
    <w:p w14:paraId="009D8C18" w14:textId="378AC386" w:rsidR="001D266C" w:rsidRPr="00805174" w:rsidRDefault="001D266C" w:rsidP="001D266C">
      <w:r w:rsidRPr="00805174">
        <w:t>U vozidel s </w:t>
      </w:r>
      <w:r w:rsidR="002C68A3" w:rsidRPr="00805174">
        <w:t>požadavkem</w:t>
      </w:r>
      <w:r w:rsidR="00031C5F" w:rsidRPr="00805174">
        <w:t xml:space="preserve"> </w:t>
      </w:r>
      <w:r w:rsidRPr="00805174">
        <w:t>„základní“ budou pojištěny základní asistence poskytované pojistitelem zdarma.</w:t>
      </w:r>
    </w:p>
    <w:p w14:paraId="1E42D60A" w14:textId="77777777" w:rsidR="00031C5F" w:rsidRPr="002C68A3" w:rsidRDefault="00031C5F" w:rsidP="001D266C">
      <w:pPr>
        <w:rPr>
          <w:highlight w:val="yellow"/>
        </w:rPr>
      </w:pPr>
    </w:p>
    <w:p w14:paraId="66C62784" w14:textId="114D44FE" w:rsidR="00893EA8" w:rsidRPr="00F47935" w:rsidRDefault="00893EA8" w:rsidP="00B534B7">
      <w:pPr>
        <w:rPr>
          <w:rFonts w:ascii="Palatino Linotype" w:hAnsi="Palatino Linotype" w:cs="Arial"/>
          <w:sz w:val="22"/>
          <w:szCs w:val="22"/>
        </w:rPr>
      </w:pPr>
      <w:bookmarkStart w:id="17" w:name="_Hlk147090810"/>
      <w:r w:rsidRPr="00F47935">
        <w:rPr>
          <w:rFonts w:ascii="Palatino Linotype" w:hAnsi="Palatino Linotype" w:cs="Arial"/>
          <w:sz w:val="22"/>
          <w:szCs w:val="22"/>
        </w:rPr>
        <w:t>Poskytnutí asistence se vztahuje na všechna vozidla zařazená do pojištění. Asistence se vztahuje na všechny typy vozidel a událostí na území České republiky i zahraničí.</w:t>
      </w:r>
    </w:p>
    <w:bookmarkEnd w:id="17"/>
    <w:p w14:paraId="5C5C7CD8" w14:textId="77777777" w:rsidR="00893EA8" w:rsidRPr="00F47935" w:rsidRDefault="00893EA8" w:rsidP="00B534B7">
      <w:pPr>
        <w:rPr>
          <w:rFonts w:ascii="Palatino Linotype" w:hAnsi="Palatino Linotype" w:cs="Arial"/>
          <w:sz w:val="22"/>
          <w:szCs w:val="22"/>
        </w:rPr>
      </w:pPr>
    </w:p>
    <w:p w14:paraId="1E083502" w14:textId="77777777" w:rsidR="004B7A0C" w:rsidRDefault="00585BA1" w:rsidP="004B7A0C">
      <w:pPr>
        <w:rPr>
          <w:rFonts w:ascii="Palatino Linotype" w:hAnsi="Palatino Linotype" w:cs="Arial"/>
          <w:sz w:val="22"/>
          <w:szCs w:val="22"/>
        </w:rPr>
      </w:pPr>
      <w:r w:rsidRPr="00F47935">
        <w:rPr>
          <w:rFonts w:ascii="Palatino Linotype" w:hAnsi="Palatino Linotype" w:cs="Arial"/>
          <w:sz w:val="22"/>
          <w:szCs w:val="22"/>
        </w:rPr>
        <w:t>Pojistitel</w:t>
      </w:r>
      <w:r w:rsidR="00A7087B" w:rsidRPr="00F47935">
        <w:rPr>
          <w:rFonts w:ascii="Palatino Linotype" w:hAnsi="Palatino Linotype" w:cs="Arial"/>
          <w:sz w:val="22"/>
          <w:szCs w:val="22"/>
        </w:rPr>
        <w:t xml:space="preserve"> uvede v textové části své nabídky, které služby a v jakém rozsahu jsou zahrnuty v pojištění. </w:t>
      </w:r>
    </w:p>
    <w:p w14:paraId="0D995FF6" w14:textId="77777777" w:rsidR="004B7A0C" w:rsidRDefault="004B7A0C" w:rsidP="004B7A0C">
      <w:pPr>
        <w:rPr>
          <w:rFonts w:ascii="Palatino Linotype" w:hAnsi="Palatino Linotype" w:cs="Arial"/>
          <w:sz w:val="22"/>
          <w:szCs w:val="22"/>
        </w:rPr>
      </w:pPr>
    </w:p>
    <w:p w14:paraId="31F44FE5" w14:textId="3BE6500A" w:rsidR="00A7087B" w:rsidRPr="00F47935" w:rsidRDefault="00A7087B" w:rsidP="004B7A0C">
      <w:pPr>
        <w:rPr>
          <w:rFonts w:ascii="Palatino Linotype" w:hAnsi="Palatino Linotype" w:cs="Arial"/>
          <w:sz w:val="22"/>
        </w:rPr>
      </w:pPr>
      <w:r w:rsidRPr="00F47935">
        <w:rPr>
          <w:rFonts w:ascii="Palatino Linotype" w:hAnsi="Palatino Linotype" w:cs="Arial"/>
          <w:sz w:val="22"/>
        </w:rPr>
        <w:t xml:space="preserve">Územní platnost </w:t>
      </w:r>
    </w:p>
    <w:p w14:paraId="328C2CEE" w14:textId="77777777" w:rsidR="0084090D" w:rsidRDefault="00A7087B" w:rsidP="0084090D">
      <w:pPr>
        <w:rPr>
          <w:rFonts w:ascii="Palatino Linotype" w:hAnsi="Palatino Linotype" w:cs="Arial"/>
          <w:sz w:val="22"/>
          <w:szCs w:val="22"/>
        </w:rPr>
      </w:pPr>
      <w:r w:rsidRPr="00F47935">
        <w:rPr>
          <w:rFonts w:ascii="Palatino Linotype" w:hAnsi="Palatino Linotype" w:cs="Arial"/>
          <w:sz w:val="22"/>
          <w:szCs w:val="22"/>
        </w:rPr>
        <w:t>Geografické území Evropy</w:t>
      </w:r>
      <w:r w:rsidR="003A158D" w:rsidRPr="00F47935">
        <w:rPr>
          <w:rFonts w:ascii="Palatino Linotype" w:hAnsi="Palatino Linotype" w:cs="Arial"/>
          <w:sz w:val="22"/>
          <w:szCs w:val="22"/>
        </w:rPr>
        <w:t xml:space="preserve"> vyjma Ruska a Běloruska</w:t>
      </w:r>
      <w:r w:rsidRPr="00F47935">
        <w:rPr>
          <w:rFonts w:ascii="Palatino Linotype" w:hAnsi="Palatino Linotype" w:cs="Arial"/>
          <w:sz w:val="22"/>
          <w:szCs w:val="22"/>
        </w:rPr>
        <w:t xml:space="preserve">. </w:t>
      </w:r>
    </w:p>
    <w:p w14:paraId="5580384C" w14:textId="77777777" w:rsidR="0084090D" w:rsidRDefault="0084090D" w:rsidP="0084090D">
      <w:pPr>
        <w:rPr>
          <w:rFonts w:ascii="Palatino Linotype" w:hAnsi="Palatino Linotype" w:cs="Arial"/>
          <w:sz w:val="22"/>
          <w:szCs w:val="22"/>
        </w:rPr>
      </w:pPr>
    </w:p>
    <w:p w14:paraId="58D7F7C9" w14:textId="77777777" w:rsidR="00A7087B" w:rsidRPr="00F47935" w:rsidRDefault="00A7087B" w:rsidP="00CC1738">
      <w:pPr>
        <w:pStyle w:val="Nadpis1"/>
        <w:rPr>
          <w:rFonts w:ascii="Palatino Linotype" w:hAnsi="Palatino Linotype"/>
        </w:rPr>
      </w:pPr>
      <w:r w:rsidRPr="00F47935">
        <w:rPr>
          <w:rFonts w:ascii="Palatino Linotype" w:hAnsi="Palatino Linotype"/>
        </w:rPr>
        <w:t>VYÚČTOVÁNÍ PŘIPOJIŠTĚNÝCH / ODPOJIŠTĚNÝCH VOZIDEL</w:t>
      </w:r>
    </w:p>
    <w:p w14:paraId="7049B159" w14:textId="50143641" w:rsidR="00A95423" w:rsidRPr="00CC2E51" w:rsidRDefault="00BA1D6B" w:rsidP="00A95423">
      <w:pPr>
        <w:rPr>
          <w:rFonts w:ascii="Palatino Linotype" w:hAnsi="Palatino Linotype" w:cs="Arial"/>
          <w:sz w:val="22"/>
          <w:szCs w:val="22"/>
        </w:rPr>
      </w:pPr>
      <w:r w:rsidRPr="000E7844">
        <w:rPr>
          <w:rFonts w:ascii="Palatino Linotype" w:hAnsi="Palatino Linotype" w:cs="Arial"/>
          <w:sz w:val="22"/>
          <w:szCs w:val="22"/>
        </w:rPr>
        <w:t xml:space="preserve">Pojistné období se sjednává jako roční. Úhrada pojistného bude prováděna v pravidelných čtvrtletních splátkách. </w:t>
      </w:r>
      <w:r w:rsidR="00A7087B" w:rsidRPr="000E7844">
        <w:rPr>
          <w:rFonts w:ascii="Palatino Linotype" w:hAnsi="Palatino Linotype" w:cs="Arial"/>
          <w:sz w:val="22"/>
          <w:szCs w:val="22"/>
        </w:rPr>
        <w:t xml:space="preserve">Vždy do </w:t>
      </w:r>
      <w:r w:rsidR="007F46B2" w:rsidRPr="000E7844">
        <w:rPr>
          <w:rFonts w:ascii="Palatino Linotype" w:hAnsi="Palatino Linotype" w:cs="Arial"/>
          <w:sz w:val="22"/>
          <w:szCs w:val="22"/>
        </w:rPr>
        <w:t>10. pracovního dne</w:t>
      </w:r>
      <w:r w:rsidR="00A7087B" w:rsidRPr="000E7844">
        <w:rPr>
          <w:rFonts w:ascii="Palatino Linotype" w:hAnsi="Palatino Linotype" w:cs="Arial"/>
          <w:sz w:val="22"/>
          <w:szCs w:val="22"/>
        </w:rPr>
        <w:t xml:space="preserve"> </w:t>
      </w:r>
      <w:r w:rsidRPr="000E7844">
        <w:rPr>
          <w:rFonts w:ascii="Palatino Linotype" w:hAnsi="Palatino Linotype" w:cs="Arial"/>
          <w:sz w:val="22"/>
          <w:szCs w:val="22"/>
        </w:rPr>
        <w:t xml:space="preserve">každého čtvrtletí kalendářního roku </w:t>
      </w:r>
      <w:r w:rsidR="00A7087B" w:rsidRPr="000E7844">
        <w:rPr>
          <w:rFonts w:ascii="Palatino Linotype" w:hAnsi="Palatino Linotype" w:cs="Arial"/>
          <w:sz w:val="22"/>
          <w:szCs w:val="22"/>
        </w:rPr>
        <w:t>bude pojistitelem vyhotoveno vyúčtování.</w:t>
      </w:r>
      <w:r w:rsidR="001B4C71" w:rsidRPr="000E7844">
        <w:rPr>
          <w:rFonts w:ascii="Palatino Linotype" w:hAnsi="Palatino Linotype" w:cs="Arial"/>
          <w:sz w:val="22"/>
          <w:szCs w:val="22"/>
        </w:rPr>
        <w:t xml:space="preserve"> </w:t>
      </w:r>
      <w:r w:rsidR="00E5006B" w:rsidRPr="000E7844">
        <w:rPr>
          <w:rFonts w:ascii="Palatino Linotype" w:hAnsi="Palatino Linotype" w:cs="Arial"/>
          <w:sz w:val="22"/>
          <w:szCs w:val="22"/>
        </w:rPr>
        <w:t>Úhrada pojistného bude prováděná v české měně na účet makléře č. 5025001117/5500.</w:t>
      </w:r>
      <w:r w:rsidR="00E5006B">
        <w:rPr>
          <w:rFonts w:ascii="Palatino Linotype" w:hAnsi="Palatino Linotype" w:cs="Arial"/>
          <w:sz w:val="22"/>
          <w:szCs w:val="22"/>
        </w:rPr>
        <w:t xml:space="preserve"> </w:t>
      </w:r>
    </w:p>
    <w:p w14:paraId="7867E57B" w14:textId="3108813A" w:rsidR="00A7087B" w:rsidRPr="00F47935" w:rsidRDefault="00602A1C" w:rsidP="00CC1738">
      <w:pPr>
        <w:pStyle w:val="Nadpis1"/>
        <w:rPr>
          <w:rFonts w:ascii="Palatino Linotype" w:hAnsi="Palatino Linotype"/>
        </w:rPr>
      </w:pPr>
      <w:bookmarkStart w:id="18" w:name="_Toc182663736"/>
      <w:bookmarkStart w:id="19" w:name="_Toc247333926"/>
      <w:r w:rsidRPr="00F47935">
        <w:rPr>
          <w:rFonts w:ascii="Palatino Linotype" w:hAnsi="Palatino Linotype"/>
        </w:rPr>
        <w:t xml:space="preserve">společná </w:t>
      </w:r>
      <w:r w:rsidR="00A7087B" w:rsidRPr="00F47935">
        <w:rPr>
          <w:rFonts w:ascii="Palatino Linotype" w:hAnsi="Palatino Linotype"/>
        </w:rPr>
        <w:t>Z</w:t>
      </w:r>
      <w:bookmarkEnd w:id="18"/>
      <w:bookmarkEnd w:id="19"/>
      <w:r w:rsidR="00A7087B" w:rsidRPr="00F47935">
        <w:rPr>
          <w:rFonts w:ascii="Palatino Linotype" w:hAnsi="Palatino Linotype"/>
        </w:rPr>
        <w:t>VLÁŠTNÍ UJEDNÁNÍ</w:t>
      </w:r>
    </w:p>
    <w:p w14:paraId="40AF36F6" w14:textId="52BA7E1B" w:rsidR="00EE2373" w:rsidRDefault="006C2CF6" w:rsidP="006F61DC">
      <w:pPr>
        <w:spacing w:after="240"/>
        <w:rPr>
          <w:rFonts w:ascii="Palatino Linotype" w:hAnsi="Palatino Linotype" w:cs="Arial"/>
          <w:sz w:val="22"/>
          <w:szCs w:val="22"/>
        </w:rPr>
      </w:pPr>
      <w:r>
        <w:rPr>
          <w:rFonts w:ascii="Palatino Linotype" w:hAnsi="Palatino Linotype" w:cs="Arial"/>
          <w:sz w:val="22"/>
          <w:szCs w:val="22"/>
        </w:rPr>
        <w:t xml:space="preserve">Všechna vozidla, která budou připojištěna do této pojistné smlouvy v průběhu pojistného období a která jsou ve vlastnictví pojištěného nebo je má pojištěný v dlouhodobém užívání, budou připojištěna za stejných podmínek a pojistných sazeb, které byly nabídnuty v rámci zadávacího řízení této veřejné zakázky, na </w:t>
      </w:r>
      <w:proofErr w:type="gramStart"/>
      <w:r>
        <w:rPr>
          <w:rFonts w:ascii="Palatino Linotype" w:hAnsi="Palatino Linotype" w:cs="Arial"/>
          <w:sz w:val="22"/>
          <w:szCs w:val="22"/>
        </w:rPr>
        <w:t>základě</w:t>
      </w:r>
      <w:proofErr w:type="gramEnd"/>
      <w:r>
        <w:rPr>
          <w:rFonts w:ascii="Palatino Linotype" w:hAnsi="Palatino Linotype" w:cs="Arial"/>
          <w:sz w:val="22"/>
          <w:szCs w:val="22"/>
        </w:rPr>
        <w:t xml:space="preserve"> kterého došlo k uzavření této smlouvy.</w:t>
      </w:r>
    </w:p>
    <w:p w14:paraId="4039C235" w14:textId="53640F63" w:rsidR="00117170" w:rsidRPr="00F47935" w:rsidRDefault="00117170" w:rsidP="006F61DC">
      <w:pPr>
        <w:spacing w:after="240"/>
        <w:rPr>
          <w:rFonts w:ascii="Palatino Linotype" w:hAnsi="Palatino Linotype" w:cs="Arial"/>
          <w:sz w:val="22"/>
          <w:szCs w:val="22"/>
        </w:rPr>
      </w:pPr>
      <w:r w:rsidRPr="000E7844">
        <w:rPr>
          <w:rFonts w:ascii="Palatino Linotype" w:hAnsi="Palatino Linotype" w:cs="Arial"/>
          <w:sz w:val="22"/>
          <w:szCs w:val="22"/>
        </w:rPr>
        <w:t xml:space="preserve">Pojištění se </w:t>
      </w:r>
      <w:r w:rsidR="00ED6BA5" w:rsidRPr="000E7844">
        <w:rPr>
          <w:rFonts w:ascii="Palatino Linotype" w:hAnsi="Palatino Linotype" w:cs="Arial"/>
          <w:sz w:val="22"/>
          <w:szCs w:val="22"/>
        </w:rPr>
        <w:t xml:space="preserve">automaticky </w:t>
      </w:r>
      <w:r w:rsidRPr="000E7844">
        <w:rPr>
          <w:rFonts w:ascii="Palatino Linotype" w:hAnsi="Palatino Linotype" w:cs="Arial"/>
          <w:sz w:val="22"/>
          <w:szCs w:val="22"/>
        </w:rPr>
        <w:t xml:space="preserve">vztahuje i na vozidla zapůjčena za úplatu </w:t>
      </w:r>
      <w:r w:rsidR="000122F5" w:rsidRPr="000E7844">
        <w:rPr>
          <w:rFonts w:ascii="Palatino Linotype" w:hAnsi="Palatino Linotype" w:cs="Arial"/>
          <w:sz w:val="22"/>
          <w:szCs w:val="22"/>
        </w:rPr>
        <w:t xml:space="preserve">na základě smlouvy </w:t>
      </w:r>
      <w:r w:rsidR="00ED6BA5" w:rsidRPr="000E7844">
        <w:rPr>
          <w:rFonts w:ascii="Palatino Linotype" w:hAnsi="Palatino Linotype" w:cs="Arial"/>
          <w:sz w:val="22"/>
          <w:szCs w:val="22"/>
        </w:rPr>
        <w:t xml:space="preserve">třetí </w:t>
      </w:r>
      <w:r w:rsidRPr="000E7844">
        <w:rPr>
          <w:rFonts w:ascii="Palatino Linotype" w:hAnsi="Palatino Linotype" w:cs="Arial"/>
          <w:sz w:val="22"/>
          <w:szCs w:val="22"/>
        </w:rPr>
        <w:t>osobě</w:t>
      </w:r>
      <w:r w:rsidR="0090606A" w:rsidRPr="000E7844">
        <w:rPr>
          <w:rFonts w:ascii="Palatino Linotype" w:hAnsi="Palatino Linotype" w:cs="Arial"/>
          <w:sz w:val="22"/>
          <w:szCs w:val="22"/>
        </w:rPr>
        <w:t>, a to bez ohledu na délku zapůjčení, bez přirážky k pojistnému.</w:t>
      </w:r>
    </w:p>
    <w:p w14:paraId="70D8949E" w14:textId="2319834A" w:rsidR="00A7087B" w:rsidRDefault="00A7087B" w:rsidP="006F61DC">
      <w:pPr>
        <w:spacing w:after="240"/>
        <w:rPr>
          <w:rFonts w:ascii="Palatino Linotype" w:hAnsi="Palatino Linotype" w:cs="Arial"/>
          <w:sz w:val="22"/>
          <w:szCs w:val="22"/>
        </w:rPr>
      </w:pPr>
      <w:r w:rsidRPr="000E7844">
        <w:rPr>
          <w:rFonts w:ascii="Palatino Linotype" w:hAnsi="Palatino Linotype" w:cs="Arial"/>
          <w:sz w:val="22"/>
          <w:szCs w:val="22"/>
        </w:rPr>
        <w:t xml:space="preserve">Veškeré pojistné sazby budou přiloženy. </w:t>
      </w:r>
    </w:p>
    <w:p w14:paraId="61AF1FEF" w14:textId="2C4A6BF0" w:rsidR="00CF07A6" w:rsidRDefault="00CF07A6" w:rsidP="00CF07A6">
      <w:pPr>
        <w:spacing w:after="240"/>
        <w:rPr>
          <w:rFonts w:ascii="Palatino Linotype" w:hAnsi="Palatino Linotype" w:cs="Arial"/>
          <w:sz w:val="22"/>
          <w:szCs w:val="22"/>
        </w:rPr>
      </w:pPr>
      <w:r w:rsidRPr="00EE2373">
        <w:rPr>
          <w:rFonts w:ascii="Palatino Linotype" w:hAnsi="Palatino Linotype" w:cs="Arial"/>
          <w:sz w:val="22"/>
          <w:szCs w:val="22"/>
        </w:rPr>
        <w:t>Vozidla s jiným způsobem užití než běžné, např. autoškola, půjčení za úplatu, taxi (</w:t>
      </w:r>
      <w:proofErr w:type="spellStart"/>
      <w:r w:rsidRPr="00EE2373">
        <w:rPr>
          <w:rFonts w:ascii="Palatino Linotype" w:hAnsi="Palatino Linotype" w:cs="Arial"/>
          <w:sz w:val="22"/>
          <w:szCs w:val="22"/>
        </w:rPr>
        <w:t>seniortaxi</w:t>
      </w:r>
      <w:proofErr w:type="spellEnd"/>
      <w:r w:rsidRPr="00EE2373">
        <w:rPr>
          <w:rFonts w:ascii="Palatino Linotype" w:hAnsi="Palatino Linotype" w:cs="Arial"/>
          <w:sz w:val="22"/>
          <w:szCs w:val="22"/>
        </w:rPr>
        <w:t xml:space="preserve">), vozidla sloužící k opravě a údržbě komunikací, </w:t>
      </w:r>
      <w:r w:rsidR="00805174" w:rsidRPr="00805174">
        <w:rPr>
          <w:rFonts w:ascii="Palatino Linotype" w:hAnsi="Palatino Linotype" w:cs="Arial"/>
          <w:sz w:val="22"/>
          <w:szCs w:val="22"/>
        </w:rPr>
        <w:t>kurýrní rozvážková služba, vozidla s právem přednosti v jízdě, svoz odpadu apod.</w:t>
      </w:r>
      <w:r w:rsidR="00805174">
        <w:rPr>
          <w:rFonts w:ascii="Palatino Linotype" w:hAnsi="Palatino Linotype" w:cs="Arial"/>
          <w:sz w:val="22"/>
          <w:szCs w:val="22"/>
        </w:rPr>
        <w:t xml:space="preserve"> </w:t>
      </w:r>
      <w:r w:rsidRPr="00EE2373">
        <w:rPr>
          <w:rFonts w:ascii="Palatino Linotype" w:hAnsi="Palatino Linotype" w:cs="Arial"/>
          <w:sz w:val="22"/>
          <w:szCs w:val="22"/>
        </w:rPr>
        <w:t>budou pojištěny bez přirážky na pojistném.</w:t>
      </w:r>
    </w:p>
    <w:p w14:paraId="1E638A55" w14:textId="0224AFB7" w:rsidR="0024443E" w:rsidRPr="000E7844" w:rsidRDefault="0024443E" w:rsidP="006F61DC">
      <w:pPr>
        <w:spacing w:after="240"/>
        <w:rPr>
          <w:rFonts w:ascii="Palatino Linotype" w:hAnsi="Palatino Linotype" w:cs="Arial"/>
          <w:sz w:val="22"/>
          <w:szCs w:val="22"/>
        </w:rPr>
      </w:pPr>
      <w:r w:rsidRPr="000E7844">
        <w:rPr>
          <w:rFonts w:ascii="Palatino Linotype" w:hAnsi="Palatino Linotype" w:cs="Arial"/>
          <w:sz w:val="22"/>
          <w:szCs w:val="22"/>
        </w:rPr>
        <w:t xml:space="preserve">Pojistitel se tímto zavazuje zajistit prohlídku vozidla </w:t>
      </w:r>
      <w:r w:rsidR="00CB224C" w:rsidRPr="000E7844">
        <w:rPr>
          <w:rFonts w:ascii="Palatino Linotype" w:hAnsi="Palatino Linotype" w:cs="Arial"/>
          <w:sz w:val="22"/>
          <w:szCs w:val="22"/>
        </w:rPr>
        <w:t xml:space="preserve">zástupcem pojistitele nejpozději do </w:t>
      </w:r>
      <w:r w:rsidR="007A07F6" w:rsidRPr="000E7844">
        <w:rPr>
          <w:rFonts w:ascii="Palatino Linotype" w:hAnsi="Palatino Linotype" w:cs="Arial"/>
          <w:sz w:val="22"/>
          <w:szCs w:val="22"/>
        </w:rPr>
        <w:t>2 pracovních dnů</w:t>
      </w:r>
      <w:r w:rsidR="00CB224C" w:rsidRPr="000E7844">
        <w:rPr>
          <w:rFonts w:ascii="Palatino Linotype" w:hAnsi="Palatino Linotype" w:cs="Arial"/>
          <w:sz w:val="22"/>
          <w:szCs w:val="22"/>
        </w:rPr>
        <w:t xml:space="preserve"> od nahlášení pojistné události. </w:t>
      </w:r>
    </w:p>
    <w:p w14:paraId="61F4D755" w14:textId="7EBC08B0" w:rsidR="0024443E" w:rsidRDefault="0024443E" w:rsidP="006F61DC">
      <w:pPr>
        <w:spacing w:after="240"/>
        <w:rPr>
          <w:rFonts w:ascii="Palatino Linotype" w:hAnsi="Palatino Linotype" w:cs="Arial"/>
          <w:sz w:val="22"/>
          <w:szCs w:val="22"/>
        </w:rPr>
      </w:pPr>
      <w:r w:rsidRPr="000E7844">
        <w:rPr>
          <w:rFonts w:ascii="Palatino Linotype" w:hAnsi="Palatino Linotype" w:cs="Arial"/>
          <w:sz w:val="22"/>
          <w:szCs w:val="22"/>
        </w:rPr>
        <w:t>Pojistitel bude akceptovat opravy v autorizovaných, značkových, smluvních</w:t>
      </w:r>
      <w:r w:rsidR="002410D9" w:rsidRPr="000E7844">
        <w:rPr>
          <w:rFonts w:ascii="Palatino Linotype" w:hAnsi="Palatino Linotype" w:cs="Arial"/>
          <w:sz w:val="22"/>
          <w:szCs w:val="22"/>
        </w:rPr>
        <w:t xml:space="preserve"> servisech</w:t>
      </w:r>
      <w:r w:rsidR="009A4445" w:rsidRPr="000E7844">
        <w:rPr>
          <w:rFonts w:ascii="Palatino Linotype" w:hAnsi="Palatino Linotype" w:cs="Arial"/>
          <w:sz w:val="22"/>
          <w:szCs w:val="22"/>
        </w:rPr>
        <w:t xml:space="preserve"> </w:t>
      </w:r>
      <w:r w:rsidRPr="000E7844">
        <w:rPr>
          <w:rFonts w:ascii="Palatino Linotype" w:hAnsi="Palatino Linotype" w:cs="Arial"/>
          <w:sz w:val="22"/>
          <w:szCs w:val="22"/>
        </w:rPr>
        <w:t xml:space="preserve">včetně </w:t>
      </w:r>
      <w:r w:rsidR="002410D9" w:rsidRPr="000E7844">
        <w:rPr>
          <w:rFonts w:ascii="Palatino Linotype" w:hAnsi="Palatino Linotype" w:cs="Arial"/>
          <w:sz w:val="22"/>
          <w:szCs w:val="22"/>
        </w:rPr>
        <w:t xml:space="preserve">servisů </w:t>
      </w:r>
      <w:r w:rsidRPr="000E7844">
        <w:rPr>
          <w:rFonts w:ascii="Palatino Linotype" w:hAnsi="Palatino Linotype" w:cs="Arial"/>
          <w:sz w:val="22"/>
          <w:szCs w:val="22"/>
        </w:rPr>
        <w:t>vlastních.</w:t>
      </w:r>
      <w:r w:rsidRPr="00F47935">
        <w:rPr>
          <w:rFonts w:ascii="Palatino Linotype" w:hAnsi="Palatino Linotype" w:cs="Arial"/>
          <w:sz w:val="22"/>
          <w:szCs w:val="22"/>
        </w:rPr>
        <w:t xml:space="preserve"> </w:t>
      </w:r>
    </w:p>
    <w:p w14:paraId="22F52409" w14:textId="1DB9C5F9" w:rsidR="00A7087B" w:rsidRPr="00F47935" w:rsidRDefault="0024443E" w:rsidP="006F61DC">
      <w:pPr>
        <w:spacing w:after="240"/>
        <w:rPr>
          <w:rFonts w:ascii="Palatino Linotype" w:hAnsi="Palatino Linotype" w:cs="Arial"/>
          <w:sz w:val="22"/>
          <w:szCs w:val="22"/>
        </w:rPr>
      </w:pPr>
      <w:bookmarkStart w:id="20" w:name="_Hlk147092089"/>
      <w:r w:rsidRPr="00F47935">
        <w:rPr>
          <w:rFonts w:ascii="Palatino Linotype" w:hAnsi="Palatino Linotype" w:cs="Arial"/>
          <w:sz w:val="22"/>
          <w:szCs w:val="22"/>
        </w:rPr>
        <w:t>Seznam vozidel pro pojištění bude k počátku plnění veřejné zakázky aktualizován dle reálného stavu vozidel a také v návaznosti na ukončení platnosti stávajících pojistných smluv (případný odložený počátek pojištění).</w:t>
      </w:r>
    </w:p>
    <w:bookmarkEnd w:id="20"/>
    <w:p w14:paraId="5C2763CE" w14:textId="6E2CCE65" w:rsidR="009401DE" w:rsidRPr="00F47935" w:rsidRDefault="00A7087B" w:rsidP="009401DE">
      <w:pPr>
        <w:spacing w:after="240"/>
        <w:rPr>
          <w:rFonts w:ascii="Palatino Linotype" w:hAnsi="Palatino Linotype" w:cs="Arial"/>
          <w:sz w:val="22"/>
          <w:szCs w:val="22"/>
        </w:rPr>
      </w:pPr>
      <w:r w:rsidRPr="000E7844">
        <w:rPr>
          <w:rFonts w:ascii="Palatino Linotype" w:hAnsi="Palatino Linotype" w:cs="Arial"/>
          <w:sz w:val="22"/>
          <w:szCs w:val="22"/>
        </w:rPr>
        <w:t>Případné področní splátky pojistného nebudou účtovány s přirážkou.</w:t>
      </w:r>
    </w:p>
    <w:p w14:paraId="458FBBCF" w14:textId="77777777" w:rsidR="00DF3F0A" w:rsidRPr="00F47935" w:rsidRDefault="00D63E32" w:rsidP="00CC1738">
      <w:pPr>
        <w:pStyle w:val="Nadpis1"/>
        <w:rPr>
          <w:rFonts w:ascii="Palatino Linotype" w:hAnsi="Palatino Linotype"/>
        </w:rPr>
      </w:pPr>
      <w:r w:rsidRPr="00F47935">
        <w:rPr>
          <w:rFonts w:ascii="Palatino Linotype" w:hAnsi="Palatino Linotype"/>
        </w:rPr>
        <w:lastRenderedPageBreak/>
        <w:t>Makléřská doložka</w:t>
      </w:r>
    </w:p>
    <w:p w14:paraId="0513181F" w14:textId="77777777" w:rsidR="00283E7B" w:rsidRPr="000E7844" w:rsidRDefault="00A7087B" w:rsidP="00373DF7">
      <w:pPr>
        <w:rPr>
          <w:rFonts w:ascii="Palatino Linotype" w:hAnsi="Palatino Linotype" w:cs="Arial"/>
          <w:sz w:val="22"/>
          <w:szCs w:val="22"/>
        </w:rPr>
      </w:pPr>
      <w:r w:rsidRPr="000E7844">
        <w:rPr>
          <w:rFonts w:ascii="Palatino Linotype" w:hAnsi="Palatino Linotype" w:cs="Arial"/>
          <w:sz w:val="22"/>
          <w:szCs w:val="22"/>
        </w:rPr>
        <w:t>Pojistník (pojištěný) pověřuje pojišťovací makléřskou společnost SATUM CZECH s.r.o., IČ: 25373951, vedením</w:t>
      </w:r>
      <w:r w:rsidR="00283E7B" w:rsidRPr="000E7844">
        <w:rPr>
          <w:rFonts w:ascii="Palatino Linotype" w:hAnsi="Palatino Linotype" w:cs="Arial"/>
          <w:sz w:val="22"/>
          <w:szCs w:val="22"/>
        </w:rPr>
        <w:t xml:space="preserve">, řízením </w:t>
      </w:r>
      <w:r w:rsidRPr="000E7844">
        <w:rPr>
          <w:rFonts w:ascii="Palatino Linotype" w:hAnsi="Palatino Linotype" w:cs="Arial"/>
          <w:sz w:val="22"/>
          <w:szCs w:val="22"/>
        </w:rPr>
        <w:t xml:space="preserve">a zpracováním jeho pojistného zájmu. </w:t>
      </w:r>
    </w:p>
    <w:p w14:paraId="3713A649" w14:textId="0DC62200" w:rsidR="00283E7B" w:rsidRPr="000E7844" w:rsidRDefault="00283E7B" w:rsidP="00373DF7">
      <w:pPr>
        <w:rPr>
          <w:rFonts w:ascii="Palatino Linotype" w:hAnsi="Palatino Linotype" w:cs="Arial"/>
          <w:sz w:val="22"/>
          <w:szCs w:val="22"/>
        </w:rPr>
      </w:pPr>
      <w:r w:rsidRPr="000E7844">
        <w:rPr>
          <w:rFonts w:ascii="Palatino Linotype" w:hAnsi="Palatino Linotype" w:cs="Arial"/>
          <w:sz w:val="22"/>
          <w:szCs w:val="22"/>
        </w:rPr>
        <w:t xml:space="preserve">Veškerý obchodní styk, který se bude týkat pojištění sjednaného těmito obchodními podmínkami, bude prováděn výhradně prostřednictvím zplnomocněného makléře, společnosti SATUM CZECH s.r.o. </w:t>
      </w:r>
    </w:p>
    <w:p w14:paraId="3F14EF61" w14:textId="1BE3D098" w:rsidR="00A7087B" w:rsidRPr="00F47935" w:rsidRDefault="00283E7B" w:rsidP="00373DF7">
      <w:pPr>
        <w:rPr>
          <w:rFonts w:ascii="Palatino Linotype" w:hAnsi="Palatino Linotype" w:cs="Arial"/>
          <w:sz w:val="22"/>
          <w:szCs w:val="22"/>
        </w:rPr>
      </w:pPr>
      <w:r w:rsidRPr="000E7844">
        <w:rPr>
          <w:rFonts w:ascii="Palatino Linotype" w:hAnsi="Palatino Linotype" w:cs="Arial"/>
          <w:sz w:val="22"/>
          <w:szCs w:val="22"/>
        </w:rPr>
        <w:t>Smluvní strany se dohodly, že události, se kterými je spojen požadavek na plnění z pojištění sjednaného těmito obchodními podmínkami, bude oznamovat pojistník sám, pokud tím nepověří makléře.</w:t>
      </w:r>
    </w:p>
    <w:p w14:paraId="5241074E" w14:textId="77777777" w:rsidR="00A7087B" w:rsidRPr="00F47935" w:rsidRDefault="00A7087B" w:rsidP="00CC1738">
      <w:pPr>
        <w:pStyle w:val="Nadpis1"/>
        <w:rPr>
          <w:rFonts w:ascii="Palatino Linotype" w:hAnsi="Palatino Linotype"/>
        </w:rPr>
      </w:pPr>
      <w:bookmarkStart w:id="21" w:name="_Toc182663997"/>
      <w:bookmarkStart w:id="22" w:name="_Toc247333930"/>
      <w:r w:rsidRPr="00F47935">
        <w:rPr>
          <w:rFonts w:ascii="Palatino Linotype" w:hAnsi="Palatino Linotype"/>
        </w:rPr>
        <w:t>Výklad pojmů</w:t>
      </w:r>
      <w:bookmarkEnd w:id="21"/>
      <w:bookmarkEnd w:id="22"/>
    </w:p>
    <w:p w14:paraId="23C22E21" w14:textId="77777777" w:rsidR="00973997" w:rsidRPr="000E7844" w:rsidRDefault="00973997" w:rsidP="001200C6">
      <w:pPr>
        <w:rPr>
          <w:rFonts w:ascii="Palatino Linotype" w:hAnsi="Palatino Linotype" w:cs="Arial"/>
          <w:sz w:val="22"/>
          <w:szCs w:val="22"/>
        </w:rPr>
      </w:pPr>
      <w:r w:rsidRPr="000E7844">
        <w:rPr>
          <w:rFonts w:ascii="Palatino Linotype" w:hAnsi="Palatino Linotype" w:cs="Arial"/>
          <w:sz w:val="22"/>
          <w:szCs w:val="22"/>
          <w:u w:val="single"/>
        </w:rPr>
        <w:t>Pojistným obdobím</w:t>
      </w:r>
      <w:r w:rsidRPr="000E7844">
        <w:rPr>
          <w:rFonts w:ascii="Palatino Linotype" w:hAnsi="Palatino Linotype" w:cs="Arial"/>
          <w:sz w:val="22"/>
          <w:szCs w:val="22"/>
        </w:rPr>
        <w:t xml:space="preserve"> je doba 12 měsíců.</w:t>
      </w:r>
    </w:p>
    <w:p w14:paraId="6B7065F4" w14:textId="77777777" w:rsidR="00973997" w:rsidRPr="000E7844" w:rsidRDefault="00973997" w:rsidP="001200C6">
      <w:pPr>
        <w:rPr>
          <w:rFonts w:ascii="Palatino Linotype" w:hAnsi="Palatino Linotype" w:cs="Arial"/>
          <w:sz w:val="22"/>
          <w:szCs w:val="22"/>
          <w:u w:val="single"/>
        </w:rPr>
      </w:pPr>
      <w:r w:rsidRPr="000E7844">
        <w:rPr>
          <w:rFonts w:ascii="Palatino Linotype" w:hAnsi="Palatino Linotype" w:cs="Arial"/>
          <w:sz w:val="22"/>
          <w:szCs w:val="22"/>
          <w:u w:val="single"/>
        </w:rPr>
        <w:t xml:space="preserve">Pojistný rok </w:t>
      </w:r>
      <w:r w:rsidRPr="000E7844">
        <w:rPr>
          <w:rFonts w:ascii="Palatino Linotype" w:hAnsi="Palatino Linotype" w:cs="Arial"/>
          <w:sz w:val="22"/>
          <w:szCs w:val="22"/>
        </w:rPr>
        <w:t>je doba 12 měsíců; první pojistný rok začíná dnem určeným v pojistné smlouvě jako počátek pojištění.</w:t>
      </w:r>
    </w:p>
    <w:p w14:paraId="520423CC" w14:textId="48C6A071"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Předmětem pojištění</w:t>
      </w:r>
      <w:r w:rsidRPr="000E7844">
        <w:rPr>
          <w:rFonts w:ascii="Palatino Linotype" w:hAnsi="Palatino Linotype" w:cs="Arial"/>
          <w:sz w:val="22"/>
          <w:szCs w:val="22"/>
        </w:rPr>
        <w:t xml:space="preserve"> jsou jednotlivé věci movité a nemovité nebo jejich soubory</w:t>
      </w:r>
      <w:r w:rsidR="00373DF7" w:rsidRPr="000E7844">
        <w:rPr>
          <w:rFonts w:ascii="Palatino Linotype" w:hAnsi="Palatino Linotype" w:cs="Arial"/>
          <w:sz w:val="22"/>
          <w:szCs w:val="22"/>
        </w:rPr>
        <w:t xml:space="preserve"> nebo odpovědnost</w:t>
      </w:r>
      <w:r w:rsidRPr="000E7844">
        <w:rPr>
          <w:rFonts w:ascii="Palatino Linotype" w:hAnsi="Palatino Linotype" w:cs="Arial"/>
          <w:sz w:val="22"/>
          <w:szCs w:val="22"/>
        </w:rPr>
        <w:t>.</w:t>
      </w:r>
    </w:p>
    <w:p w14:paraId="03DE2127" w14:textId="73DA4F12"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Pojistná hodnota</w:t>
      </w:r>
      <w:r w:rsidRPr="000E7844">
        <w:rPr>
          <w:rFonts w:ascii="Palatino Linotype" w:hAnsi="Palatino Linotype" w:cs="Arial"/>
          <w:sz w:val="22"/>
          <w:szCs w:val="22"/>
        </w:rPr>
        <w:t xml:space="preserve"> je </w:t>
      </w:r>
      <w:r w:rsidR="00373DF7" w:rsidRPr="000E7844">
        <w:rPr>
          <w:rFonts w:ascii="Palatino Linotype" w:hAnsi="Palatino Linotype" w:cs="Arial"/>
          <w:sz w:val="22"/>
          <w:szCs w:val="22"/>
        </w:rPr>
        <w:t>maximální možná újma, která může v důsledku pojistné události nastat</w:t>
      </w:r>
      <w:r w:rsidRPr="000E7844">
        <w:rPr>
          <w:rFonts w:ascii="Palatino Linotype" w:hAnsi="Palatino Linotype" w:cs="Arial"/>
          <w:sz w:val="22"/>
          <w:szCs w:val="22"/>
        </w:rPr>
        <w:t>.</w:t>
      </w:r>
    </w:p>
    <w:p w14:paraId="7BAA990D" w14:textId="25238B7F"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Pojistná částka</w:t>
      </w:r>
      <w:r w:rsidRPr="000E7844">
        <w:rPr>
          <w:rFonts w:ascii="Palatino Linotype" w:hAnsi="Palatino Linotype" w:cs="Arial"/>
          <w:sz w:val="22"/>
          <w:szCs w:val="22"/>
        </w:rPr>
        <w:t xml:space="preserve"> je částka jako nejvyšší možná hranice plnění pojistitele </w:t>
      </w:r>
      <w:r w:rsidR="00F41435" w:rsidRPr="000E7844">
        <w:rPr>
          <w:rFonts w:ascii="Palatino Linotype" w:hAnsi="Palatino Linotype" w:cs="Arial"/>
          <w:sz w:val="22"/>
          <w:szCs w:val="22"/>
        </w:rPr>
        <w:t>při jedné pojistné události.</w:t>
      </w:r>
    </w:p>
    <w:p w14:paraId="5FAB3F55" w14:textId="6FF03F2B" w:rsidR="004E1FE8" w:rsidRPr="000E7844" w:rsidRDefault="004E1FE8" w:rsidP="00B534B7">
      <w:pPr>
        <w:rPr>
          <w:rFonts w:ascii="Palatino Linotype" w:hAnsi="Palatino Linotype" w:cs="Arial"/>
          <w:sz w:val="22"/>
          <w:szCs w:val="22"/>
        </w:rPr>
      </w:pPr>
      <w:r w:rsidRPr="000E7844">
        <w:rPr>
          <w:rFonts w:ascii="Palatino Linotype" w:hAnsi="Palatino Linotype" w:cs="Arial"/>
          <w:sz w:val="22"/>
          <w:szCs w:val="22"/>
          <w:u w:val="single"/>
        </w:rPr>
        <w:t xml:space="preserve">Limit </w:t>
      </w:r>
      <w:r w:rsidR="001B36EF" w:rsidRPr="000E7844">
        <w:rPr>
          <w:rFonts w:ascii="Palatino Linotype" w:hAnsi="Palatino Linotype" w:cs="Arial"/>
          <w:sz w:val="22"/>
          <w:szCs w:val="22"/>
          <w:u w:val="single"/>
        </w:rPr>
        <w:t xml:space="preserve">pojistného </w:t>
      </w:r>
      <w:r w:rsidRPr="000E7844">
        <w:rPr>
          <w:rFonts w:ascii="Palatino Linotype" w:hAnsi="Palatino Linotype" w:cs="Arial"/>
          <w:sz w:val="22"/>
          <w:szCs w:val="22"/>
          <w:u w:val="single"/>
        </w:rPr>
        <w:t>plnění</w:t>
      </w:r>
      <w:r w:rsidRPr="000E7844">
        <w:rPr>
          <w:rFonts w:ascii="Palatino Linotype" w:hAnsi="Palatino Linotype" w:cs="Arial"/>
          <w:sz w:val="22"/>
          <w:szCs w:val="22"/>
        </w:rPr>
        <w:t xml:space="preserve"> je nejvyšší možná hranice plnění pojistitele při jedné pojistné události.</w:t>
      </w:r>
    </w:p>
    <w:p w14:paraId="5ABE774A" w14:textId="77777777" w:rsidR="005A6DC2" w:rsidRPr="000E7844" w:rsidRDefault="005A6DC2" w:rsidP="00B534B7">
      <w:pPr>
        <w:rPr>
          <w:rFonts w:ascii="Palatino Linotype" w:hAnsi="Palatino Linotype" w:cs="Arial"/>
          <w:sz w:val="22"/>
          <w:szCs w:val="22"/>
        </w:rPr>
      </w:pPr>
      <w:r w:rsidRPr="000E7844">
        <w:rPr>
          <w:rFonts w:ascii="Palatino Linotype" w:hAnsi="Palatino Linotype" w:cs="Arial"/>
          <w:sz w:val="22"/>
          <w:szCs w:val="22"/>
          <w:u w:val="single"/>
        </w:rPr>
        <w:t>Nová cena</w:t>
      </w:r>
      <w:r w:rsidRPr="000E7844">
        <w:rPr>
          <w:rFonts w:ascii="Palatino Linotype" w:hAnsi="Palatino Linotype" w:cs="Arial"/>
          <w:sz w:val="22"/>
          <w:szCs w:val="22"/>
        </w:rPr>
        <w:t xml:space="preserve"> je cena nového vozidla téhož druhu (nebo s ním srovnatelným) v době před sjednáním pojištění nebo před škodní událostí. </w:t>
      </w:r>
    </w:p>
    <w:p w14:paraId="57F33D8E" w14:textId="4DD8C9D5" w:rsidR="005A6DC2" w:rsidRPr="000E7844" w:rsidRDefault="00DC0A86" w:rsidP="00B534B7">
      <w:pPr>
        <w:rPr>
          <w:rFonts w:ascii="Palatino Linotype" w:hAnsi="Palatino Linotype" w:cs="Arial"/>
          <w:sz w:val="22"/>
          <w:szCs w:val="22"/>
        </w:rPr>
      </w:pPr>
      <w:r w:rsidRPr="000E7844">
        <w:rPr>
          <w:rFonts w:ascii="Palatino Linotype" w:hAnsi="Palatino Linotype" w:cs="Arial"/>
          <w:sz w:val="22"/>
          <w:szCs w:val="22"/>
          <w:u w:val="single"/>
        </w:rPr>
        <w:t>Obvyklá</w:t>
      </w:r>
      <w:r w:rsidR="005A6DC2" w:rsidRPr="000E7844">
        <w:rPr>
          <w:rFonts w:ascii="Palatino Linotype" w:hAnsi="Palatino Linotype" w:cs="Arial"/>
          <w:sz w:val="22"/>
          <w:szCs w:val="22"/>
          <w:u w:val="single"/>
        </w:rPr>
        <w:t xml:space="preserve"> cena</w:t>
      </w:r>
      <w:r w:rsidR="005A6DC2" w:rsidRPr="000E7844">
        <w:rPr>
          <w:rFonts w:ascii="Palatino Linotype" w:hAnsi="Palatino Linotype" w:cs="Arial"/>
          <w:sz w:val="22"/>
          <w:szCs w:val="22"/>
        </w:rPr>
        <w:t xml:space="preserve"> je cena vozidla, za kterou by bylo možné pořídit vozidlo na trhu v téže jakosti a stupni opotřeben</w:t>
      </w:r>
      <w:r w:rsidR="00EB081C" w:rsidRPr="000E7844">
        <w:rPr>
          <w:rFonts w:ascii="Palatino Linotype" w:hAnsi="Palatino Linotype" w:cs="Arial"/>
          <w:sz w:val="22"/>
          <w:szCs w:val="22"/>
        </w:rPr>
        <w:t>í</w:t>
      </w:r>
      <w:r w:rsidR="005A6DC2" w:rsidRPr="000E7844">
        <w:rPr>
          <w:rFonts w:ascii="Palatino Linotype" w:hAnsi="Palatino Linotype" w:cs="Arial"/>
          <w:sz w:val="22"/>
          <w:szCs w:val="22"/>
        </w:rPr>
        <w:t xml:space="preserve"> či jiném </w:t>
      </w:r>
      <w:r w:rsidR="00EB081C" w:rsidRPr="000E7844">
        <w:rPr>
          <w:rFonts w:ascii="Palatino Linotype" w:hAnsi="Palatino Linotype" w:cs="Arial"/>
          <w:sz w:val="22"/>
          <w:szCs w:val="22"/>
        </w:rPr>
        <w:t>znehodnocení</w:t>
      </w:r>
      <w:r w:rsidR="005A6DC2" w:rsidRPr="000E7844">
        <w:rPr>
          <w:rFonts w:ascii="Palatino Linotype" w:hAnsi="Palatino Linotype" w:cs="Arial"/>
          <w:sz w:val="22"/>
          <w:szCs w:val="22"/>
        </w:rPr>
        <w:t xml:space="preserve"> v době bezprostředně před škodní události.</w:t>
      </w:r>
    </w:p>
    <w:p w14:paraId="298D4B1A" w14:textId="77777777"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Hranice pojistného plnění</w:t>
      </w:r>
      <w:r w:rsidRPr="000E7844">
        <w:rPr>
          <w:rFonts w:ascii="Palatino Linotype" w:hAnsi="Palatino Linotype" w:cs="Arial"/>
          <w:sz w:val="22"/>
          <w:szCs w:val="22"/>
        </w:rPr>
        <w:t xml:space="preserve"> se vztahuje na jednu pojistnou událost.</w:t>
      </w:r>
    </w:p>
    <w:p w14:paraId="4E832E79" w14:textId="77777777"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Pojistnou událostí</w:t>
      </w:r>
      <w:r w:rsidRPr="000E7844">
        <w:rPr>
          <w:rFonts w:ascii="Palatino Linotype" w:hAnsi="Palatino Linotype" w:cs="Arial"/>
          <w:sz w:val="22"/>
          <w:szCs w:val="22"/>
        </w:rPr>
        <w:t xml:space="preserve"> je nahodilá skutečnost blíže označená v pojistné smlouvě, se kterou je spojen vznik povinnosti pojistitele poskytnout pojistné plnění.</w:t>
      </w:r>
    </w:p>
    <w:p w14:paraId="199AA98E" w14:textId="77777777"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Škodnou událostí</w:t>
      </w:r>
      <w:r w:rsidRPr="000E7844">
        <w:rPr>
          <w:rFonts w:ascii="Palatino Linotype" w:hAnsi="Palatino Linotype" w:cs="Arial"/>
          <w:sz w:val="22"/>
          <w:szCs w:val="22"/>
        </w:rPr>
        <w:t xml:space="preserve"> je skutečnost, ze které vznikla škoda a která by mohla být důvodem vzniku práva na pojistné plnění. </w:t>
      </w:r>
    </w:p>
    <w:p w14:paraId="5D677F01" w14:textId="77777777"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Pojištěním škodovým</w:t>
      </w:r>
      <w:r w:rsidRPr="000E7844">
        <w:rPr>
          <w:rFonts w:ascii="Palatino Linotype" w:hAnsi="Palatino Linotype" w:cs="Arial"/>
          <w:sz w:val="22"/>
          <w:szCs w:val="22"/>
        </w:rPr>
        <w:t xml:space="preserve"> se rozumí pojištění, jehož účelem je náhrada škody vzniklé v důsledku pojistné události.</w:t>
      </w:r>
    </w:p>
    <w:p w14:paraId="66804212" w14:textId="77777777" w:rsidR="00A7087B" w:rsidRPr="000E7844"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Za jednu pojistnou událost</w:t>
      </w:r>
      <w:r w:rsidRPr="000E7844">
        <w:rPr>
          <w:rFonts w:ascii="Palatino Linotype" w:hAnsi="Palatino Linotype" w:cs="Arial"/>
          <w:sz w:val="22"/>
          <w:szCs w:val="22"/>
        </w:rPr>
        <w:t xml:space="preserve"> se považuje pojistná událost vzniklá z jedné a stejné příčiny. </w:t>
      </w:r>
    </w:p>
    <w:p w14:paraId="61739E47" w14:textId="4A72ED1A" w:rsidR="00A7087B" w:rsidRPr="00F47935" w:rsidRDefault="00A7087B" w:rsidP="00B534B7">
      <w:pPr>
        <w:rPr>
          <w:rFonts w:ascii="Palatino Linotype" w:hAnsi="Palatino Linotype" w:cs="Arial"/>
          <w:sz w:val="22"/>
          <w:szCs w:val="22"/>
        </w:rPr>
      </w:pPr>
      <w:r w:rsidRPr="000E7844">
        <w:rPr>
          <w:rFonts w:ascii="Palatino Linotype" w:hAnsi="Palatino Linotype" w:cs="Arial"/>
          <w:sz w:val="22"/>
          <w:szCs w:val="22"/>
          <w:u w:val="single"/>
        </w:rPr>
        <w:t>Spoluúčast</w:t>
      </w:r>
      <w:r w:rsidRPr="000E7844">
        <w:rPr>
          <w:rFonts w:ascii="Palatino Linotype" w:hAnsi="Palatino Linotype" w:cs="Arial"/>
          <w:sz w:val="22"/>
          <w:szCs w:val="22"/>
        </w:rPr>
        <w:t xml:space="preserve"> je částka dohodnutá v pojistné smlouvě, </w:t>
      </w:r>
      <w:r w:rsidR="00E46BBB" w:rsidRPr="000E7844">
        <w:rPr>
          <w:rFonts w:ascii="Palatino Linotype" w:hAnsi="Palatino Linotype" w:cs="Arial"/>
          <w:sz w:val="22"/>
          <w:szCs w:val="22"/>
        </w:rPr>
        <w:t>kterou se oprávněná osoba podílí na úhradě nákladů vzniklých pojistnou událostí</w:t>
      </w:r>
      <w:r w:rsidRPr="000E7844">
        <w:rPr>
          <w:rFonts w:ascii="Palatino Linotype" w:hAnsi="Palatino Linotype" w:cs="Arial"/>
          <w:sz w:val="22"/>
          <w:szCs w:val="22"/>
        </w:rPr>
        <w:t>.</w:t>
      </w:r>
      <w:r w:rsidRPr="00F47935">
        <w:rPr>
          <w:rFonts w:ascii="Palatino Linotype" w:hAnsi="Palatino Linotype" w:cs="Arial"/>
          <w:sz w:val="22"/>
          <w:szCs w:val="22"/>
        </w:rPr>
        <w:t xml:space="preserve"> </w:t>
      </w:r>
    </w:p>
    <w:p w14:paraId="34DB9F28" w14:textId="68B5B442" w:rsidR="00A7087B" w:rsidRPr="00F47935" w:rsidRDefault="00A7087B" w:rsidP="00CC1738">
      <w:pPr>
        <w:pStyle w:val="Nadpis1"/>
        <w:rPr>
          <w:rFonts w:ascii="Palatino Linotype" w:hAnsi="Palatino Linotype"/>
        </w:rPr>
      </w:pPr>
      <w:bookmarkStart w:id="23" w:name="_Toc182664001"/>
      <w:bookmarkStart w:id="24" w:name="_Toc247333933"/>
      <w:r w:rsidRPr="00F47935">
        <w:rPr>
          <w:rFonts w:ascii="Palatino Linotype" w:hAnsi="Palatino Linotype"/>
        </w:rPr>
        <w:t>Doba, na kterou se uzavírá pojistná smlouva (doba trvání pojištění)</w:t>
      </w:r>
      <w:bookmarkEnd w:id="23"/>
      <w:bookmarkEnd w:id="24"/>
    </w:p>
    <w:p w14:paraId="6875942D" w14:textId="0D915EB4" w:rsidR="00A7087B" w:rsidRDefault="00A7087B" w:rsidP="00925438">
      <w:pPr>
        <w:pStyle w:val="Nadpis2"/>
        <w:tabs>
          <w:tab w:val="clear" w:pos="1135"/>
          <w:tab w:val="num" w:pos="1276"/>
        </w:tabs>
        <w:ind w:left="851" w:hanging="567"/>
        <w:rPr>
          <w:rFonts w:ascii="Palatino Linotype" w:hAnsi="Palatino Linotype"/>
          <w:b w:val="0"/>
          <w:bCs/>
        </w:rPr>
      </w:pPr>
      <w:r w:rsidRPr="003E75AC">
        <w:rPr>
          <w:rFonts w:ascii="Palatino Linotype" w:hAnsi="Palatino Linotype" w:cs="Arial"/>
          <w:szCs w:val="22"/>
        </w:rPr>
        <w:t xml:space="preserve">Pojistná smlouva se uzavírá </w:t>
      </w:r>
      <w:r w:rsidR="00CB42DF" w:rsidRPr="003E75AC">
        <w:rPr>
          <w:rFonts w:ascii="Palatino Linotype" w:hAnsi="Palatino Linotype" w:cs="Arial"/>
          <w:szCs w:val="22"/>
        </w:rPr>
        <w:t>na dobu určitou</w:t>
      </w:r>
      <w:r w:rsidR="00616D44" w:rsidRPr="003E75AC">
        <w:rPr>
          <w:rFonts w:ascii="Palatino Linotype" w:hAnsi="Palatino Linotype" w:cs="Arial"/>
          <w:szCs w:val="22"/>
        </w:rPr>
        <w:t>, tj.</w:t>
      </w:r>
      <w:r w:rsidR="0020723E" w:rsidRPr="003E75AC">
        <w:rPr>
          <w:rFonts w:ascii="Palatino Linotype" w:hAnsi="Palatino Linotype" w:cs="Arial"/>
          <w:szCs w:val="22"/>
        </w:rPr>
        <w:t xml:space="preserve"> od </w:t>
      </w:r>
      <w:r w:rsidR="009401DE" w:rsidRPr="003E75AC">
        <w:rPr>
          <w:rFonts w:ascii="Palatino Linotype" w:hAnsi="Palatino Linotype" w:cs="Arial"/>
          <w:szCs w:val="22"/>
        </w:rPr>
        <w:t>1.1.202</w:t>
      </w:r>
      <w:r w:rsidR="00B277F7">
        <w:rPr>
          <w:rFonts w:ascii="Palatino Linotype" w:hAnsi="Palatino Linotype" w:cs="Arial"/>
          <w:szCs w:val="22"/>
        </w:rPr>
        <w:t>6</w:t>
      </w:r>
      <w:r w:rsidR="00B75CA7" w:rsidRPr="003E75AC">
        <w:rPr>
          <w:rFonts w:ascii="Palatino Linotype" w:hAnsi="Palatino Linotype" w:cs="Arial"/>
          <w:szCs w:val="22"/>
        </w:rPr>
        <w:t xml:space="preserve"> </w:t>
      </w:r>
      <w:r w:rsidR="00CB42DF" w:rsidRPr="003E75AC">
        <w:rPr>
          <w:rFonts w:ascii="Palatino Linotype" w:hAnsi="Palatino Linotype" w:cs="Arial"/>
          <w:szCs w:val="22"/>
        </w:rPr>
        <w:t xml:space="preserve">do </w:t>
      </w:r>
      <w:r w:rsidR="0092316A" w:rsidRPr="003E75AC">
        <w:rPr>
          <w:rFonts w:ascii="Palatino Linotype" w:hAnsi="Palatino Linotype" w:cs="Arial"/>
          <w:szCs w:val="22"/>
        </w:rPr>
        <w:t>31.12.202</w:t>
      </w:r>
      <w:r w:rsidR="00B277F7">
        <w:rPr>
          <w:rFonts w:ascii="Palatino Linotype" w:hAnsi="Palatino Linotype" w:cs="Arial"/>
          <w:szCs w:val="22"/>
        </w:rPr>
        <w:t>9</w:t>
      </w:r>
      <w:r w:rsidRPr="003E75AC">
        <w:rPr>
          <w:rFonts w:ascii="Palatino Linotype" w:hAnsi="Palatino Linotype" w:cs="Arial"/>
          <w:szCs w:val="22"/>
        </w:rPr>
        <w:t xml:space="preserve"> </w:t>
      </w:r>
      <w:r w:rsidR="001850F2" w:rsidRPr="003E75AC">
        <w:rPr>
          <w:rFonts w:ascii="Palatino Linotype" w:hAnsi="Palatino Linotype" w:cs="Arial"/>
          <w:b w:val="0"/>
          <w:bCs/>
          <w:szCs w:val="22"/>
        </w:rPr>
        <w:t>Pro tuto</w:t>
      </w:r>
      <w:r w:rsidR="001850F2" w:rsidRPr="003E75AC">
        <w:rPr>
          <w:rFonts w:ascii="Palatino Linotype" w:hAnsi="Palatino Linotype"/>
          <w:b w:val="0"/>
          <w:bCs/>
        </w:rPr>
        <w:t xml:space="preserve"> variantu platí, že všechna vozidla, která budou připojištěna do této pojistné smlouvy v době, na kterou je pojistná smlouva sjednána, a která jsou ve vlastnictví pojištěného </w:t>
      </w:r>
      <w:r w:rsidR="001850F2" w:rsidRPr="003E75AC">
        <w:rPr>
          <w:rFonts w:ascii="Palatino Linotype" w:hAnsi="Palatino Linotype"/>
          <w:b w:val="0"/>
          <w:bCs/>
        </w:rPr>
        <w:lastRenderedPageBreak/>
        <w:t xml:space="preserve">nebo je má pojištěný v oprávněném užívání, budou připojištěna za stejných podmínek a pojistných sazeb, které byly nabídnuty v rámci </w:t>
      </w:r>
      <w:r w:rsidR="00B361FA" w:rsidRPr="003E75AC">
        <w:rPr>
          <w:rFonts w:ascii="Palatino Linotype" w:hAnsi="Palatino Linotype"/>
          <w:b w:val="0"/>
          <w:bCs/>
        </w:rPr>
        <w:t>výběrového řízení</w:t>
      </w:r>
      <w:r w:rsidR="001850F2" w:rsidRPr="003E75AC">
        <w:rPr>
          <w:rFonts w:ascii="Palatino Linotype" w:hAnsi="Palatino Linotype"/>
          <w:b w:val="0"/>
          <w:bCs/>
        </w:rPr>
        <w:t>, na základě, kterého došlo k uzavření této smlouvy.</w:t>
      </w:r>
    </w:p>
    <w:p w14:paraId="6A837E5D" w14:textId="77777777" w:rsidR="00434A3B" w:rsidRPr="00F47935" w:rsidRDefault="00434A3B" w:rsidP="00434A3B">
      <w:pPr>
        <w:pStyle w:val="Zkladntext"/>
        <w:rPr>
          <w:rFonts w:ascii="Palatino Linotype" w:hAnsi="Palatino Linotype" w:cs="Arial"/>
          <w:sz w:val="22"/>
          <w:szCs w:val="22"/>
        </w:rPr>
      </w:pPr>
      <w:r w:rsidRPr="00805174">
        <w:rPr>
          <w:rFonts w:ascii="Palatino Linotype" w:hAnsi="Palatino Linotype" w:cs="Arial"/>
          <w:sz w:val="22"/>
          <w:szCs w:val="22"/>
        </w:rPr>
        <w:t>Výše pojistného je platná po celou dobu trvání pojištění. Nárůst výše pojistného v důsledku vývoje cen pojištění je nepřípustný. Výše pojistného je překročitelná pouze při změně rozsahu pojistného krytí a změně objemu pojišťovaného majetku (vozidel), resp. při zvýšení pojistné částky nebo limitu plnění.</w:t>
      </w:r>
      <w:r>
        <w:rPr>
          <w:rFonts w:ascii="Palatino Linotype" w:hAnsi="Palatino Linotype" w:cs="Arial"/>
          <w:sz w:val="22"/>
          <w:szCs w:val="22"/>
        </w:rPr>
        <w:t xml:space="preserve"> </w:t>
      </w:r>
    </w:p>
    <w:p w14:paraId="6939D3E9" w14:textId="77777777" w:rsidR="00434A3B" w:rsidRPr="00434A3B" w:rsidRDefault="00434A3B" w:rsidP="00434A3B"/>
    <w:p w14:paraId="3F5908A5" w14:textId="77777777" w:rsidR="00A7087B" w:rsidRPr="00F47935" w:rsidRDefault="00A7087B" w:rsidP="00CC1738">
      <w:pPr>
        <w:pStyle w:val="Nadpis1"/>
        <w:rPr>
          <w:rFonts w:ascii="Palatino Linotype" w:hAnsi="Palatino Linotype"/>
        </w:rPr>
      </w:pPr>
      <w:r w:rsidRPr="00F47935">
        <w:rPr>
          <w:rFonts w:ascii="Palatino Linotype" w:hAnsi="Palatino Linotype"/>
        </w:rPr>
        <w:t>Změna smluvních podmínek</w:t>
      </w:r>
    </w:p>
    <w:p w14:paraId="55AD8A64" w14:textId="333CA389" w:rsidR="00A7087B" w:rsidRPr="00F47935" w:rsidRDefault="00A7087B" w:rsidP="001200C6">
      <w:pPr>
        <w:rPr>
          <w:rFonts w:ascii="Palatino Linotype" w:hAnsi="Palatino Linotype" w:cs="Arial"/>
          <w:sz w:val="22"/>
          <w:szCs w:val="22"/>
        </w:rPr>
      </w:pPr>
      <w:r w:rsidRPr="000E7844">
        <w:rPr>
          <w:rFonts w:ascii="Palatino Linotype" w:hAnsi="Palatino Linotype" w:cs="Arial"/>
          <w:sz w:val="22"/>
          <w:szCs w:val="22"/>
        </w:rPr>
        <w:t>Veškeré změny a doplnění lze realizovat pouze formou písemných dodatků smlouvy, které budou vzestupně očíslovány, výslovně prohlášeny za dodatek této smlouvy a podepsány oprávněnými zástupci smluvních stran.</w:t>
      </w:r>
    </w:p>
    <w:p w14:paraId="387C22B0" w14:textId="77777777" w:rsidR="00A7087B" w:rsidRPr="00F47935" w:rsidRDefault="00A7087B" w:rsidP="00CC1738">
      <w:pPr>
        <w:pStyle w:val="Nadpis1"/>
        <w:rPr>
          <w:rFonts w:ascii="Palatino Linotype" w:hAnsi="Palatino Linotype"/>
        </w:rPr>
      </w:pPr>
      <w:r w:rsidRPr="00F47935">
        <w:rPr>
          <w:rFonts w:ascii="Palatino Linotype" w:hAnsi="Palatino Linotype"/>
        </w:rPr>
        <w:t>PŘílohy</w:t>
      </w:r>
    </w:p>
    <w:p w14:paraId="0D4B9F05" w14:textId="0F7B6E5F" w:rsidR="00A7087B" w:rsidRPr="003401AA" w:rsidRDefault="00B361FA" w:rsidP="001200C6">
      <w:pPr>
        <w:rPr>
          <w:rFonts w:ascii="Palatino Linotype" w:hAnsi="Palatino Linotype" w:cs="Arial"/>
          <w:color w:val="FF0000"/>
          <w:sz w:val="22"/>
          <w:szCs w:val="22"/>
        </w:rPr>
      </w:pPr>
      <w:r w:rsidRPr="00B361FA">
        <w:rPr>
          <w:rFonts w:ascii="Palatino Linotype" w:hAnsi="Palatino Linotype" w:cs="Arial"/>
          <w:sz w:val="22"/>
          <w:szCs w:val="22"/>
        </w:rPr>
        <w:t xml:space="preserve">Příloha č. 1 - seznam vozidel </w:t>
      </w:r>
      <w:r w:rsidR="00141D51">
        <w:rPr>
          <w:rFonts w:ascii="Palatino Linotype" w:hAnsi="Palatino Linotype" w:cs="Arial"/>
          <w:sz w:val="22"/>
          <w:szCs w:val="22"/>
        </w:rPr>
        <w:t>Statutární město Opava</w:t>
      </w:r>
    </w:p>
    <w:p w14:paraId="29203791" w14:textId="77777777" w:rsidR="00A7087B" w:rsidRPr="00F47935" w:rsidRDefault="00A7087B" w:rsidP="00B534B7">
      <w:pPr>
        <w:pStyle w:val="Smlouva-slo"/>
        <w:rPr>
          <w:rFonts w:ascii="Palatino Linotype" w:hAnsi="Palatino Linotype" w:cs="Arial"/>
          <w:sz w:val="22"/>
          <w:szCs w:val="22"/>
        </w:rPr>
      </w:pPr>
    </w:p>
    <w:p w14:paraId="33D694E7" w14:textId="77777777" w:rsidR="006D4A08" w:rsidRPr="00F47935" w:rsidRDefault="006D4A08" w:rsidP="006D4A08">
      <w:pPr>
        <w:pStyle w:val="Zkladntext"/>
        <w:rPr>
          <w:rFonts w:ascii="Palatino Linotype" w:hAnsi="Palatino Linotype" w:cs="Arial"/>
          <w:sz w:val="22"/>
          <w:szCs w:val="22"/>
        </w:rPr>
      </w:pPr>
      <w:r w:rsidRPr="00F47935">
        <w:rPr>
          <w:rFonts w:ascii="Palatino Linotype" w:hAnsi="Palatino Linotype" w:cs="Arial"/>
          <w:b/>
          <w:sz w:val="22"/>
          <w:szCs w:val="22"/>
        </w:rPr>
        <w:t>Poznámka:</w:t>
      </w:r>
      <w:r w:rsidRPr="00F47935">
        <w:rPr>
          <w:rFonts w:ascii="Palatino Linotype" w:hAnsi="Palatino Linotype" w:cs="Arial"/>
          <w:sz w:val="22"/>
          <w:szCs w:val="22"/>
        </w:rPr>
        <w:t xml:space="preserve"> Seznam vozidel pro pojištění bude k počátku plnění veřejné zakázky aktualizován dle reálného stavu vozidel.</w:t>
      </w:r>
    </w:p>
    <w:p w14:paraId="4A1B3683" w14:textId="77777777" w:rsidR="000E7AB4" w:rsidRPr="00F47935" w:rsidRDefault="000E7AB4" w:rsidP="00B534B7">
      <w:pPr>
        <w:rPr>
          <w:rFonts w:ascii="Palatino Linotype" w:hAnsi="Palatino Linotype" w:cs="Arial"/>
          <w:sz w:val="22"/>
          <w:szCs w:val="22"/>
        </w:rPr>
      </w:pPr>
    </w:p>
    <w:sectPr w:rsidR="000E7AB4" w:rsidRPr="00F47935" w:rsidSect="00D9123D">
      <w:footerReference w:type="even" r:id="rId8"/>
      <w:footerReference w:type="default" r:id="rId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30B0" w14:textId="77777777" w:rsidR="005B4416" w:rsidRDefault="005B4416" w:rsidP="00B534B7">
      <w:r>
        <w:separator/>
      </w:r>
    </w:p>
  </w:endnote>
  <w:endnote w:type="continuationSeparator" w:id="0">
    <w:p w14:paraId="0D335B01" w14:textId="77777777" w:rsidR="005B4416" w:rsidRDefault="005B4416" w:rsidP="00B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oneSanItcTEEBol">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F691" w14:textId="0C13C897" w:rsidR="006C2CF6" w:rsidRDefault="00924F25" w:rsidP="00B534B7">
    <w:pPr>
      <w:pStyle w:val="Zpat"/>
      <w:rPr>
        <w:rStyle w:val="slostrnky"/>
      </w:rPr>
    </w:pPr>
    <w:r>
      <w:rPr>
        <w:rStyle w:val="slostrnky"/>
      </w:rPr>
      <w:fldChar w:fldCharType="begin"/>
    </w:r>
    <w:r>
      <w:rPr>
        <w:rStyle w:val="slostrnky"/>
      </w:rPr>
      <w:instrText xml:space="preserve">PAGE  </w:instrText>
    </w:r>
    <w:r>
      <w:rPr>
        <w:rStyle w:val="slostrnky"/>
      </w:rPr>
      <w:fldChar w:fldCharType="separate"/>
    </w:r>
    <w:r w:rsidR="0009129A">
      <w:rPr>
        <w:rStyle w:val="slostrnky"/>
        <w:noProof/>
      </w:rPr>
      <w:t>8</w:t>
    </w:r>
    <w:r>
      <w:rPr>
        <w:rStyle w:val="slostrnky"/>
      </w:rPr>
      <w:fldChar w:fldCharType="end"/>
    </w:r>
  </w:p>
  <w:p w14:paraId="3C13CABA" w14:textId="77777777" w:rsidR="006C2CF6" w:rsidRDefault="006C2CF6" w:rsidP="00B534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DD94" w14:textId="77777777" w:rsidR="006C2CF6" w:rsidRPr="00093933" w:rsidRDefault="006C2CF6" w:rsidP="00B534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DD1F" w14:textId="77777777" w:rsidR="005B4416" w:rsidRDefault="005B4416" w:rsidP="00B534B7">
      <w:r>
        <w:separator/>
      </w:r>
    </w:p>
  </w:footnote>
  <w:footnote w:type="continuationSeparator" w:id="0">
    <w:p w14:paraId="7F75FEDB" w14:textId="77777777" w:rsidR="005B4416" w:rsidRDefault="005B4416" w:rsidP="00B5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C7509"/>
    <w:multiLevelType w:val="hybridMultilevel"/>
    <w:tmpl w:val="A7866B88"/>
    <w:lvl w:ilvl="0" w:tplc="E1E2293C">
      <w:start w:val="1"/>
      <w:numFmt w:val="bullet"/>
      <w:lvlText w:val=""/>
      <w:lvlJc w:val="left"/>
      <w:pPr>
        <w:tabs>
          <w:tab w:val="num" w:pos="1211"/>
        </w:tabs>
        <w:ind w:left="1211" w:hanging="360"/>
      </w:pPr>
      <w:rPr>
        <w:rFonts w:ascii="Symbol" w:hAnsi="Symbol" w:hint="default"/>
      </w:rPr>
    </w:lvl>
    <w:lvl w:ilvl="1" w:tplc="B7A02D60">
      <w:start w:val="2"/>
      <w:numFmt w:val="bullet"/>
      <w:lvlText w:val="-"/>
      <w:lvlJc w:val="left"/>
      <w:pPr>
        <w:tabs>
          <w:tab w:val="num" w:pos="1931"/>
        </w:tabs>
        <w:ind w:left="1931" w:hanging="360"/>
      </w:pPr>
      <w:rPr>
        <w:rFonts w:ascii="Times New Roman" w:eastAsia="Times New Roman" w:hAnsi="Times New Roman" w:cs="Times New Roman"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3A104309"/>
    <w:multiLevelType w:val="hybridMultilevel"/>
    <w:tmpl w:val="761CA486"/>
    <w:lvl w:ilvl="0" w:tplc="12CA2E8E">
      <w:start w:val="1"/>
      <w:numFmt w:val="decimal"/>
      <w:lvlText w:val="%1)"/>
      <w:lvlJc w:val="left"/>
      <w:pPr>
        <w:ind w:left="1070" w:hanging="360"/>
      </w:pPr>
      <w:rPr>
        <w:rFonts w:hint="default"/>
        <w:b/>
        <w:color w:val="auto"/>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2" w15:restartNumberingAfterBreak="0">
    <w:nsid w:val="4B5C551B"/>
    <w:multiLevelType w:val="hybridMultilevel"/>
    <w:tmpl w:val="ACA263A6"/>
    <w:lvl w:ilvl="0" w:tplc="FFFFFFFF">
      <w:start w:val="2"/>
      <w:numFmt w:val="decimal"/>
      <w:lvlText w:val="(%1)"/>
      <w:lvlJc w:val="left"/>
      <w:pPr>
        <w:tabs>
          <w:tab w:val="num" w:pos="1800"/>
        </w:tabs>
        <w:ind w:left="1800" w:hanging="360"/>
      </w:pPr>
      <w:rPr>
        <w:rFonts w:hint="default"/>
      </w:rPr>
    </w:lvl>
    <w:lvl w:ilvl="1" w:tplc="FFFFFFFF">
      <w:start w:val="5"/>
      <w:numFmt w:val="lowerLetter"/>
      <w:pStyle w:val="Text11"/>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50C96C13"/>
    <w:multiLevelType w:val="multilevel"/>
    <w:tmpl w:val="C0F88AD6"/>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4D2120"/>
    <w:multiLevelType w:val="multilevel"/>
    <w:tmpl w:val="F4F619A6"/>
    <w:lvl w:ilvl="0">
      <w:start w:val="1"/>
      <w:numFmt w:val="decimal"/>
      <w:pStyle w:val="Nadpis1"/>
      <w:lvlText w:val="%1."/>
      <w:lvlJc w:val="left"/>
      <w:pPr>
        <w:tabs>
          <w:tab w:val="num" w:pos="851"/>
        </w:tabs>
        <w:ind w:left="851" w:hanging="851"/>
      </w:pPr>
      <w:rPr>
        <w:rFonts w:ascii="Times New Roman" w:eastAsia="Times New Roman" w:hAnsi="Times New Roman" w:cs="Times New Roman"/>
        <w:b/>
        <w:i w:val="0"/>
        <w:sz w:val="28"/>
        <w:szCs w:val="28"/>
      </w:rPr>
    </w:lvl>
    <w:lvl w:ilvl="1">
      <w:start w:val="1"/>
      <w:numFmt w:val="decimal"/>
      <w:pStyle w:val="Nadpis2"/>
      <w:lvlText w:val="%1.%2."/>
      <w:lvlJc w:val="left"/>
      <w:pPr>
        <w:tabs>
          <w:tab w:val="num" w:pos="1135"/>
        </w:tabs>
        <w:ind w:left="1135" w:hanging="851"/>
      </w:pPr>
      <w:rPr>
        <w:rFonts w:ascii="Times New Roman" w:hAnsi="Times New Roman" w:cs="Times New Roman" w:hint="default"/>
      </w:rPr>
    </w:lvl>
    <w:lvl w:ilvl="2">
      <w:start w:val="1"/>
      <w:numFmt w:val="decimal"/>
      <w:pStyle w:val="Nadpis3"/>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993"/>
        </w:tabs>
        <w:ind w:left="993" w:hanging="851"/>
      </w:pPr>
    </w:lvl>
    <w:lvl w:ilvl="4">
      <w:start w:val="1"/>
      <w:numFmt w:val="decimal"/>
      <w:pStyle w:val="Nadpis5"/>
      <w:lvlText w:val="%1.%2.%3.%4.%5"/>
      <w:lvlJc w:val="left"/>
      <w:pPr>
        <w:tabs>
          <w:tab w:val="num" w:pos="866"/>
        </w:tabs>
        <w:ind w:left="866" w:hanging="1008"/>
      </w:pPr>
    </w:lvl>
    <w:lvl w:ilvl="5">
      <w:start w:val="1"/>
      <w:numFmt w:val="decimal"/>
      <w:pStyle w:val="Nadpis6"/>
      <w:lvlText w:val="%1.%2.%3.%4.%5.%6"/>
      <w:lvlJc w:val="left"/>
      <w:pPr>
        <w:tabs>
          <w:tab w:val="num" w:pos="1010"/>
        </w:tabs>
        <w:ind w:left="1010" w:hanging="1152"/>
      </w:pPr>
    </w:lvl>
    <w:lvl w:ilvl="6">
      <w:start w:val="1"/>
      <w:numFmt w:val="decimal"/>
      <w:pStyle w:val="Nadpis7"/>
      <w:lvlText w:val="%1.%2.%3.%4.%5.%6.%7"/>
      <w:lvlJc w:val="left"/>
      <w:pPr>
        <w:tabs>
          <w:tab w:val="num" w:pos="1154"/>
        </w:tabs>
        <w:ind w:left="1154" w:hanging="1296"/>
      </w:pPr>
    </w:lvl>
    <w:lvl w:ilvl="7">
      <w:start w:val="1"/>
      <w:numFmt w:val="decimal"/>
      <w:pStyle w:val="Nadpis8"/>
      <w:lvlText w:val="%1.%2.%3.%4.%5.%6.%7.%8"/>
      <w:lvlJc w:val="left"/>
      <w:pPr>
        <w:tabs>
          <w:tab w:val="num" w:pos="1298"/>
        </w:tabs>
        <w:ind w:left="1298" w:hanging="1440"/>
      </w:pPr>
    </w:lvl>
    <w:lvl w:ilvl="8">
      <w:start w:val="1"/>
      <w:numFmt w:val="decimal"/>
      <w:pStyle w:val="Nadpis9"/>
      <w:lvlText w:val="%1.%2.%3.%4.%5.%6.%7.%8.%9"/>
      <w:lvlJc w:val="left"/>
      <w:pPr>
        <w:tabs>
          <w:tab w:val="num" w:pos="1442"/>
        </w:tabs>
        <w:ind w:left="1442" w:hanging="1584"/>
      </w:pPr>
    </w:lvl>
  </w:abstractNum>
  <w:abstractNum w:abstractNumId="5" w15:restartNumberingAfterBreak="0">
    <w:nsid w:val="559456B2"/>
    <w:multiLevelType w:val="hybridMultilevel"/>
    <w:tmpl w:val="83E4237E"/>
    <w:lvl w:ilvl="0" w:tplc="04050001">
      <w:start w:val="1"/>
      <w:numFmt w:val="bullet"/>
      <w:lvlText w:val=""/>
      <w:lvlJc w:val="left"/>
      <w:pPr>
        <w:tabs>
          <w:tab w:val="num" w:pos="1571"/>
        </w:tabs>
        <w:ind w:left="1571" w:hanging="360"/>
      </w:pPr>
      <w:rPr>
        <w:rFonts w:ascii="Symbol" w:hAnsi="Symbol" w:hint="default"/>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FBE543E"/>
    <w:multiLevelType w:val="hybridMultilevel"/>
    <w:tmpl w:val="486007FC"/>
    <w:lvl w:ilvl="0" w:tplc="FC608A32">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5452E3"/>
    <w:multiLevelType w:val="hybridMultilevel"/>
    <w:tmpl w:val="3E6E6FEC"/>
    <w:lvl w:ilvl="0" w:tplc="B7A02D60">
      <w:start w:val="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794904289">
    <w:abstractNumId w:val="4"/>
  </w:num>
  <w:num w:numId="2" w16cid:durableId="1353721452">
    <w:abstractNumId w:val="0"/>
  </w:num>
  <w:num w:numId="3" w16cid:durableId="1610503073">
    <w:abstractNumId w:val="2"/>
  </w:num>
  <w:num w:numId="4" w16cid:durableId="1674337322">
    <w:abstractNumId w:val="5"/>
  </w:num>
  <w:num w:numId="5" w16cid:durableId="1262370560">
    <w:abstractNumId w:val="6"/>
  </w:num>
  <w:num w:numId="6" w16cid:durableId="369259502">
    <w:abstractNumId w:val="4"/>
  </w:num>
  <w:num w:numId="7" w16cid:durableId="2051110072">
    <w:abstractNumId w:val="4"/>
  </w:num>
  <w:num w:numId="8" w16cid:durableId="762385052">
    <w:abstractNumId w:val="4"/>
  </w:num>
  <w:num w:numId="9" w16cid:durableId="1265727752">
    <w:abstractNumId w:val="4"/>
  </w:num>
  <w:num w:numId="10" w16cid:durableId="610015356">
    <w:abstractNumId w:val="4"/>
  </w:num>
  <w:num w:numId="11" w16cid:durableId="1112553242">
    <w:abstractNumId w:val="4"/>
  </w:num>
  <w:num w:numId="12" w16cid:durableId="1603148618">
    <w:abstractNumId w:val="4"/>
  </w:num>
  <w:num w:numId="13" w16cid:durableId="2091610135">
    <w:abstractNumId w:val="4"/>
  </w:num>
  <w:num w:numId="14" w16cid:durableId="1800488773">
    <w:abstractNumId w:val="4"/>
  </w:num>
  <w:num w:numId="15" w16cid:durableId="1162817535">
    <w:abstractNumId w:val="4"/>
  </w:num>
  <w:num w:numId="16" w16cid:durableId="1895660093">
    <w:abstractNumId w:val="4"/>
  </w:num>
  <w:num w:numId="17" w16cid:durableId="755439435">
    <w:abstractNumId w:val="7"/>
  </w:num>
  <w:num w:numId="18" w16cid:durableId="601109761">
    <w:abstractNumId w:val="1"/>
  </w:num>
  <w:num w:numId="19" w16cid:durableId="1145439137">
    <w:abstractNumId w:val="4"/>
  </w:num>
  <w:num w:numId="20" w16cid:durableId="1693803580">
    <w:abstractNumId w:val="4"/>
  </w:num>
  <w:num w:numId="21" w16cid:durableId="1902517231">
    <w:abstractNumId w:val="4"/>
  </w:num>
  <w:num w:numId="22" w16cid:durableId="608439094">
    <w:abstractNumId w:val="4"/>
  </w:num>
  <w:num w:numId="23" w16cid:durableId="917982818">
    <w:abstractNumId w:val="4"/>
  </w:num>
  <w:num w:numId="24" w16cid:durableId="214515140">
    <w:abstractNumId w:val="4"/>
  </w:num>
  <w:num w:numId="25" w16cid:durableId="1802188708">
    <w:abstractNumId w:val="4"/>
  </w:num>
  <w:num w:numId="26" w16cid:durableId="2170610">
    <w:abstractNumId w:val="4"/>
  </w:num>
  <w:num w:numId="27" w16cid:durableId="839810396">
    <w:abstractNumId w:val="4"/>
  </w:num>
  <w:num w:numId="28" w16cid:durableId="1153523769">
    <w:abstractNumId w:val="4"/>
  </w:num>
  <w:num w:numId="29" w16cid:durableId="1417552300">
    <w:abstractNumId w:val="3"/>
  </w:num>
  <w:num w:numId="30" w16cid:durableId="150543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07"/>
    <w:rsid w:val="00001D35"/>
    <w:rsid w:val="00010FA4"/>
    <w:rsid w:val="000122F5"/>
    <w:rsid w:val="0002799D"/>
    <w:rsid w:val="00031C5F"/>
    <w:rsid w:val="0004106D"/>
    <w:rsid w:val="0004503B"/>
    <w:rsid w:val="00051A6E"/>
    <w:rsid w:val="00053C01"/>
    <w:rsid w:val="00057B96"/>
    <w:rsid w:val="00085392"/>
    <w:rsid w:val="00086939"/>
    <w:rsid w:val="00086A51"/>
    <w:rsid w:val="0009129A"/>
    <w:rsid w:val="000B17B9"/>
    <w:rsid w:val="000B4423"/>
    <w:rsid w:val="000B67BD"/>
    <w:rsid w:val="000C4FE2"/>
    <w:rsid w:val="000D2364"/>
    <w:rsid w:val="000D42AF"/>
    <w:rsid w:val="000D7310"/>
    <w:rsid w:val="000E0FA1"/>
    <w:rsid w:val="000E7844"/>
    <w:rsid w:val="000E7AB4"/>
    <w:rsid w:val="00102DAE"/>
    <w:rsid w:val="00117170"/>
    <w:rsid w:val="001200C6"/>
    <w:rsid w:val="0012027E"/>
    <w:rsid w:val="001311DB"/>
    <w:rsid w:val="00141D51"/>
    <w:rsid w:val="00153A17"/>
    <w:rsid w:val="001850F2"/>
    <w:rsid w:val="001A0181"/>
    <w:rsid w:val="001A5FA6"/>
    <w:rsid w:val="001A7618"/>
    <w:rsid w:val="001B36EF"/>
    <w:rsid w:val="001B4C71"/>
    <w:rsid w:val="001C659D"/>
    <w:rsid w:val="001D0F48"/>
    <w:rsid w:val="001D1411"/>
    <w:rsid w:val="001D266C"/>
    <w:rsid w:val="001D4EEC"/>
    <w:rsid w:val="001E14E8"/>
    <w:rsid w:val="001E2319"/>
    <w:rsid w:val="001F24A0"/>
    <w:rsid w:val="001F6B6A"/>
    <w:rsid w:val="00206543"/>
    <w:rsid w:val="0020723E"/>
    <w:rsid w:val="00210166"/>
    <w:rsid w:val="00212025"/>
    <w:rsid w:val="002278A8"/>
    <w:rsid w:val="00233B42"/>
    <w:rsid w:val="002410D9"/>
    <w:rsid w:val="0024443E"/>
    <w:rsid w:val="00282A2A"/>
    <w:rsid w:val="002834CC"/>
    <w:rsid w:val="00283E7B"/>
    <w:rsid w:val="002873AF"/>
    <w:rsid w:val="0029063A"/>
    <w:rsid w:val="002935D2"/>
    <w:rsid w:val="00293D11"/>
    <w:rsid w:val="002A1DA2"/>
    <w:rsid w:val="002A3057"/>
    <w:rsid w:val="002A66C4"/>
    <w:rsid w:val="002A7C3F"/>
    <w:rsid w:val="002B6A3C"/>
    <w:rsid w:val="002C5D6A"/>
    <w:rsid w:val="002C68A3"/>
    <w:rsid w:val="002C7052"/>
    <w:rsid w:val="002D0AE6"/>
    <w:rsid w:val="002D477A"/>
    <w:rsid w:val="002E2C95"/>
    <w:rsid w:val="00303252"/>
    <w:rsid w:val="00303476"/>
    <w:rsid w:val="00313EAC"/>
    <w:rsid w:val="00316926"/>
    <w:rsid w:val="003358D5"/>
    <w:rsid w:val="003401AA"/>
    <w:rsid w:val="00364D6E"/>
    <w:rsid w:val="00373DF7"/>
    <w:rsid w:val="003943F6"/>
    <w:rsid w:val="00394F8D"/>
    <w:rsid w:val="003A0A7F"/>
    <w:rsid w:val="003A158D"/>
    <w:rsid w:val="003B080C"/>
    <w:rsid w:val="003C12F3"/>
    <w:rsid w:val="003D57A2"/>
    <w:rsid w:val="003D6FD7"/>
    <w:rsid w:val="003E75AC"/>
    <w:rsid w:val="003F364B"/>
    <w:rsid w:val="004105E4"/>
    <w:rsid w:val="00410BC0"/>
    <w:rsid w:val="0042196F"/>
    <w:rsid w:val="004261C3"/>
    <w:rsid w:val="004275BE"/>
    <w:rsid w:val="00434A3B"/>
    <w:rsid w:val="00446E06"/>
    <w:rsid w:val="00447FBD"/>
    <w:rsid w:val="00450B2D"/>
    <w:rsid w:val="0045256F"/>
    <w:rsid w:val="0045552F"/>
    <w:rsid w:val="0045554A"/>
    <w:rsid w:val="00460DAC"/>
    <w:rsid w:val="00461B33"/>
    <w:rsid w:val="00476791"/>
    <w:rsid w:val="0048633A"/>
    <w:rsid w:val="00493972"/>
    <w:rsid w:val="004A1582"/>
    <w:rsid w:val="004B1BA1"/>
    <w:rsid w:val="004B7A0C"/>
    <w:rsid w:val="004D607E"/>
    <w:rsid w:val="004D61C0"/>
    <w:rsid w:val="004E1FE8"/>
    <w:rsid w:val="004E50B5"/>
    <w:rsid w:val="004F1099"/>
    <w:rsid w:val="004F1E60"/>
    <w:rsid w:val="004F37C0"/>
    <w:rsid w:val="004F5472"/>
    <w:rsid w:val="00524C21"/>
    <w:rsid w:val="00525844"/>
    <w:rsid w:val="0053023A"/>
    <w:rsid w:val="00533097"/>
    <w:rsid w:val="00540093"/>
    <w:rsid w:val="00545FDB"/>
    <w:rsid w:val="005517F4"/>
    <w:rsid w:val="00557A3B"/>
    <w:rsid w:val="00561A85"/>
    <w:rsid w:val="005620F4"/>
    <w:rsid w:val="005658C7"/>
    <w:rsid w:val="0057585E"/>
    <w:rsid w:val="00583804"/>
    <w:rsid w:val="00585BA1"/>
    <w:rsid w:val="00586B75"/>
    <w:rsid w:val="005A6DC2"/>
    <w:rsid w:val="005B4416"/>
    <w:rsid w:val="005B52DE"/>
    <w:rsid w:val="005C5771"/>
    <w:rsid w:val="005D08D6"/>
    <w:rsid w:val="005E309C"/>
    <w:rsid w:val="005F7847"/>
    <w:rsid w:val="00602A1C"/>
    <w:rsid w:val="00607C02"/>
    <w:rsid w:val="00616D44"/>
    <w:rsid w:val="00633865"/>
    <w:rsid w:val="006440CA"/>
    <w:rsid w:val="00664FE4"/>
    <w:rsid w:val="006715E0"/>
    <w:rsid w:val="00672532"/>
    <w:rsid w:val="006A16BB"/>
    <w:rsid w:val="006A22DF"/>
    <w:rsid w:val="006A5CE3"/>
    <w:rsid w:val="006C2CF6"/>
    <w:rsid w:val="006C6C4A"/>
    <w:rsid w:val="006C7FF4"/>
    <w:rsid w:val="006D499E"/>
    <w:rsid w:val="006D4A08"/>
    <w:rsid w:val="006F61DC"/>
    <w:rsid w:val="00701B6F"/>
    <w:rsid w:val="007210D6"/>
    <w:rsid w:val="00721C8C"/>
    <w:rsid w:val="00737F5F"/>
    <w:rsid w:val="007466CD"/>
    <w:rsid w:val="007508C3"/>
    <w:rsid w:val="0075187F"/>
    <w:rsid w:val="007701E2"/>
    <w:rsid w:val="00775308"/>
    <w:rsid w:val="00782301"/>
    <w:rsid w:val="007827F3"/>
    <w:rsid w:val="007A07F6"/>
    <w:rsid w:val="007B1ED6"/>
    <w:rsid w:val="007B6675"/>
    <w:rsid w:val="007C4B63"/>
    <w:rsid w:val="007C4D07"/>
    <w:rsid w:val="007D0B85"/>
    <w:rsid w:val="007E1D57"/>
    <w:rsid w:val="007E79A6"/>
    <w:rsid w:val="007F46B2"/>
    <w:rsid w:val="00805174"/>
    <w:rsid w:val="0080712C"/>
    <w:rsid w:val="00825623"/>
    <w:rsid w:val="0084090D"/>
    <w:rsid w:val="00851FE7"/>
    <w:rsid w:val="008533D9"/>
    <w:rsid w:val="00876672"/>
    <w:rsid w:val="00883A93"/>
    <w:rsid w:val="00893EA8"/>
    <w:rsid w:val="008A02F6"/>
    <w:rsid w:val="008B2435"/>
    <w:rsid w:val="008B786E"/>
    <w:rsid w:val="008C0451"/>
    <w:rsid w:val="008C1BBD"/>
    <w:rsid w:val="008C4E1D"/>
    <w:rsid w:val="008C66A8"/>
    <w:rsid w:val="008D7ABB"/>
    <w:rsid w:val="008E10A6"/>
    <w:rsid w:val="008E6AC8"/>
    <w:rsid w:val="008F163C"/>
    <w:rsid w:val="008F5649"/>
    <w:rsid w:val="0090606A"/>
    <w:rsid w:val="00915E00"/>
    <w:rsid w:val="009169AF"/>
    <w:rsid w:val="0092316A"/>
    <w:rsid w:val="00924F25"/>
    <w:rsid w:val="00925438"/>
    <w:rsid w:val="0093206B"/>
    <w:rsid w:val="009401DE"/>
    <w:rsid w:val="00941FCA"/>
    <w:rsid w:val="00942DA5"/>
    <w:rsid w:val="009475F7"/>
    <w:rsid w:val="009605B4"/>
    <w:rsid w:val="00971D67"/>
    <w:rsid w:val="00973997"/>
    <w:rsid w:val="00982214"/>
    <w:rsid w:val="00992C14"/>
    <w:rsid w:val="009A4445"/>
    <w:rsid w:val="009A5AA5"/>
    <w:rsid w:val="009A608E"/>
    <w:rsid w:val="009B4688"/>
    <w:rsid w:val="009D1F7A"/>
    <w:rsid w:val="009D34AA"/>
    <w:rsid w:val="009E0FF1"/>
    <w:rsid w:val="009F3012"/>
    <w:rsid w:val="00A24C94"/>
    <w:rsid w:val="00A40275"/>
    <w:rsid w:val="00A41A88"/>
    <w:rsid w:val="00A43A97"/>
    <w:rsid w:val="00A46954"/>
    <w:rsid w:val="00A46A96"/>
    <w:rsid w:val="00A4792B"/>
    <w:rsid w:val="00A47B87"/>
    <w:rsid w:val="00A50813"/>
    <w:rsid w:val="00A7056A"/>
    <w:rsid w:val="00A7087B"/>
    <w:rsid w:val="00A82505"/>
    <w:rsid w:val="00A95423"/>
    <w:rsid w:val="00AC193B"/>
    <w:rsid w:val="00AD2EBD"/>
    <w:rsid w:val="00AE36D4"/>
    <w:rsid w:val="00B061FC"/>
    <w:rsid w:val="00B177A5"/>
    <w:rsid w:val="00B20881"/>
    <w:rsid w:val="00B277F7"/>
    <w:rsid w:val="00B361FA"/>
    <w:rsid w:val="00B534B7"/>
    <w:rsid w:val="00B622F9"/>
    <w:rsid w:val="00B72D11"/>
    <w:rsid w:val="00B745FD"/>
    <w:rsid w:val="00B75CA7"/>
    <w:rsid w:val="00BA1D6B"/>
    <w:rsid w:val="00BA3BF9"/>
    <w:rsid w:val="00BB0E9A"/>
    <w:rsid w:val="00BB6C5F"/>
    <w:rsid w:val="00BC0499"/>
    <w:rsid w:val="00BC0D71"/>
    <w:rsid w:val="00BD1B64"/>
    <w:rsid w:val="00BD45A9"/>
    <w:rsid w:val="00BE24E1"/>
    <w:rsid w:val="00BE48E2"/>
    <w:rsid w:val="00BE7E88"/>
    <w:rsid w:val="00BF0AA1"/>
    <w:rsid w:val="00BF3FF9"/>
    <w:rsid w:val="00BF5B73"/>
    <w:rsid w:val="00C0078A"/>
    <w:rsid w:val="00C2791E"/>
    <w:rsid w:val="00C3469B"/>
    <w:rsid w:val="00C4361C"/>
    <w:rsid w:val="00C60955"/>
    <w:rsid w:val="00C712B5"/>
    <w:rsid w:val="00C81389"/>
    <w:rsid w:val="00C8345E"/>
    <w:rsid w:val="00C926B4"/>
    <w:rsid w:val="00CA5B1C"/>
    <w:rsid w:val="00CB224C"/>
    <w:rsid w:val="00CB42DF"/>
    <w:rsid w:val="00CB4B2A"/>
    <w:rsid w:val="00CB6344"/>
    <w:rsid w:val="00CB7EB9"/>
    <w:rsid w:val="00CC1738"/>
    <w:rsid w:val="00CC2E51"/>
    <w:rsid w:val="00CD338A"/>
    <w:rsid w:val="00CE1A7B"/>
    <w:rsid w:val="00CE586D"/>
    <w:rsid w:val="00CF07A6"/>
    <w:rsid w:val="00CF7F9B"/>
    <w:rsid w:val="00D01D9F"/>
    <w:rsid w:val="00D11029"/>
    <w:rsid w:val="00D13AEB"/>
    <w:rsid w:val="00D20331"/>
    <w:rsid w:val="00D27BCE"/>
    <w:rsid w:val="00D450D5"/>
    <w:rsid w:val="00D517CD"/>
    <w:rsid w:val="00D61CEF"/>
    <w:rsid w:val="00D63E32"/>
    <w:rsid w:val="00D66C93"/>
    <w:rsid w:val="00D83C80"/>
    <w:rsid w:val="00D8649E"/>
    <w:rsid w:val="00D9123D"/>
    <w:rsid w:val="00D924F1"/>
    <w:rsid w:val="00D937E7"/>
    <w:rsid w:val="00DA2F74"/>
    <w:rsid w:val="00DC0A86"/>
    <w:rsid w:val="00DC4332"/>
    <w:rsid w:val="00DD1975"/>
    <w:rsid w:val="00DD4195"/>
    <w:rsid w:val="00DE0B83"/>
    <w:rsid w:val="00DE4155"/>
    <w:rsid w:val="00DF275E"/>
    <w:rsid w:val="00DF36F2"/>
    <w:rsid w:val="00DF3D5E"/>
    <w:rsid w:val="00DF3F0A"/>
    <w:rsid w:val="00E44B60"/>
    <w:rsid w:val="00E46BBB"/>
    <w:rsid w:val="00E5006B"/>
    <w:rsid w:val="00E538B2"/>
    <w:rsid w:val="00E675F6"/>
    <w:rsid w:val="00E70772"/>
    <w:rsid w:val="00E725F0"/>
    <w:rsid w:val="00E8474F"/>
    <w:rsid w:val="00E8563B"/>
    <w:rsid w:val="00E97FC9"/>
    <w:rsid w:val="00EA10F9"/>
    <w:rsid w:val="00EA298C"/>
    <w:rsid w:val="00EA57BC"/>
    <w:rsid w:val="00EB081C"/>
    <w:rsid w:val="00EB0AC6"/>
    <w:rsid w:val="00EB4CAC"/>
    <w:rsid w:val="00EC27C8"/>
    <w:rsid w:val="00ED6BA5"/>
    <w:rsid w:val="00EE2373"/>
    <w:rsid w:val="00EE3498"/>
    <w:rsid w:val="00EE36EF"/>
    <w:rsid w:val="00EE3F14"/>
    <w:rsid w:val="00EF545A"/>
    <w:rsid w:val="00F220C5"/>
    <w:rsid w:val="00F23F1D"/>
    <w:rsid w:val="00F41435"/>
    <w:rsid w:val="00F47935"/>
    <w:rsid w:val="00F50DC0"/>
    <w:rsid w:val="00F6010C"/>
    <w:rsid w:val="00F61466"/>
    <w:rsid w:val="00F83D66"/>
    <w:rsid w:val="00F8584A"/>
    <w:rsid w:val="00F87301"/>
    <w:rsid w:val="00F91A51"/>
    <w:rsid w:val="00FA75D4"/>
    <w:rsid w:val="00FB0A42"/>
    <w:rsid w:val="00FC248B"/>
    <w:rsid w:val="00FD69FC"/>
    <w:rsid w:val="00FE476B"/>
    <w:rsid w:val="00FE65AA"/>
    <w:rsid w:val="00FF0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143CAB67"/>
  <w15:docId w15:val="{A5A2E0DC-4136-481C-8297-12F71F31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4B7"/>
    <w:pPr>
      <w:tabs>
        <w:tab w:val="left" w:pos="851"/>
      </w:tabs>
      <w:spacing w:after="0" w:line="240" w:lineRule="auto"/>
      <w:ind w:left="851"/>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F61DC"/>
    <w:pPr>
      <w:keepNext/>
      <w:numPr>
        <w:numId w:val="1"/>
      </w:numPr>
      <w:tabs>
        <w:tab w:val="clear" w:pos="851"/>
      </w:tabs>
      <w:spacing w:before="240" w:after="240"/>
      <w:outlineLvl w:val="0"/>
    </w:pPr>
    <w:rPr>
      <w:rFonts w:ascii="Arial" w:hAnsi="Arial"/>
      <w:b/>
      <w:caps/>
      <w:kern w:val="28"/>
      <w:sz w:val="22"/>
    </w:rPr>
  </w:style>
  <w:style w:type="paragraph" w:styleId="Nadpis2">
    <w:name w:val="heading 2"/>
    <w:basedOn w:val="Normln"/>
    <w:next w:val="Normln"/>
    <w:link w:val="Nadpis2Char"/>
    <w:qFormat/>
    <w:rsid w:val="006F61DC"/>
    <w:pPr>
      <w:keepNext/>
      <w:numPr>
        <w:ilvl w:val="1"/>
        <w:numId w:val="1"/>
      </w:numPr>
      <w:tabs>
        <w:tab w:val="clear" w:pos="851"/>
      </w:tabs>
      <w:spacing w:before="240" w:after="120"/>
      <w:outlineLvl w:val="1"/>
    </w:pPr>
    <w:rPr>
      <w:rFonts w:ascii="Arial" w:hAnsi="Arial"/>
      <w:b/>
      <w:sz w:val="22"/>
    </w:rPr>
  </w:style>
  <w:style w:type="paragraph" w:styleId="Nadpis3">
    <w:name w:val="heading 3"/>
    <w:basedOn w:val="Normln"/>
    <w:next w:val="Normln"/>
    <w:link w:val="Nadpis3Char"/>
    <w:qFormat/>
    <w:rsid w:val="00B534B7"/>
    <w:pPr>
      <w:keepNext/>
      <w:keepLines/>
      <w:numPr>
        <w:ilvl w:val="2"/>
        <w:numId w:val="1"/>
      </w:numPr>
      <w:tabs>
        <w:tab w:val="clear" w:pos="851"/>
      </w:tabs>
      <w:spacing w:before="120" w:after="120"/>
      <w:outlineLvl w:val="2"/>
    </w:pPr>
    <w:rPr>
      <w:szCs w:val="22"/>
    </w:rPr>
  </w:style>
  <w:style w:type="paragraph" w:styleId="Nadpis4">
    <w:name w:val="heading 4"/>
    <w:basedOn w:val="Normln"/>
    <w:next w:val="Normln"/>
    <w:link w:val="Nadpis4Char"/>
    <w:qFormat/>
    <w:rsid w:val="00A7087B"/>
    <w:pPr>
      <w:keepNext/>
      <w:numPr>
        <w:ilvl w:val="3"/>
        <w:numId w:val="1"/>
      </w:numPr>
      <w:tabs>
        <w:tab w:val="clear" w:pos="993"/>
        <w:tab w:val="num" w:pos="709"/>
      </w:tabs>
      <w:spacing w:before="60" w:after="60"/>
      <w:ind w:left="709"/>
      <w:outlineLvl w:val="3"/>
    </w:pPr>
    <w:rPr>
      <w:rFonts w:ascii="Arial" w:hAnsi="Arial"/>
      <w:i/>
    </w:rPr>
  </w:style>
  <w:style w:type="paragraph" w:styleId="Nadpis5">
    <w:name w:val="heading 5"/>
    <w:basedOn w:val="Normln"/>
    <w:next w:val="Normln"/>
    <w:link w:val="Nadpis5Char"/>
    <w:qFormat/>
    <w:rsid w:val="00A7087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A7087B"/>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A7087B"/>
    <w:pPr>
      <w:numPr>
        <w:ilvl w:val="6"/>
        <w:numId w:val="1"/>
      </w:numPr>
      <w:spacing w:before="240" w:after="60"/>
      <w:outlineLvl w:val="6"/>
    </w:pPr>
  </w:style>
  <w:style w:type="paragraph" w:styleId="Nadpis8">
    <w:name w:val="heading 8"/>
    <w:basedOn w:val="Normln"/>
    <w:next w:val="Normln"/>
    <w:link w:val="Nadpis8Char"/>
    <w:qFormat/>
    <w:rsid w:val="00A7087B"/>
    <w:pPr>
      <w:numPr>
        <w:ilvl w:val="7"/>
        <w:numId w:val="1"/>
      </w:numPr>
      <w:spacing w:before="240" w:after="60"/>
      <w:outlineLvl w:val="7"/>
    </w:pPr>
    <w:rPr>
      <w:i/>
      <w:iCs/>
    </w:rPr>
  </w:style>
  <w:style w:type="paragraph" w:styleId="Nadpis9">
    <w:name w:val="heading 9"/>
    <w:basedOn w:val="Normln"/>
    <w:next w:val="Normln"/>
    <w:link w:val="Nadpis9Char"/>
    <w:qFormat/>
    <w:rsid w:val="00A7087B"/>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61DC"/>
    <w:rPr>
      <w:rFonts w:ascii="Arial" w:eastAsia="Times New Roman" w:hAnsi="Arial" w:cs="Times New Roman"/>
      <w:b/>
      <w:caps/>
      <w:kern w:val="28"/>
      <w:szCs w:val="24"/>
      <w:lang w:eastAsia="cs-CZ"/>
    </w:rPr>
  </w:style>
  <w:style w:type="character" w:customStyle="1" w:styleId="Nadpis2Char">
    <w:name w:val="Nadpis 2 Char"/>
    <w:basedOn w:val="Standardnpsmoodstavce"/>
    <w:link w:val="Nadpis2"/>
    <w:rsid w:val="006F61DC"/>
    <w:rPr>
      <w:rFonts w:ascii="Arial" w:eastAsia="Times New Roman" w:hAnsi="Arial" w:cs="Times New Roman"/>
      <w:b/>
      <w:szCs w:val="24"/>
      <w:lang w:eastAsia="cs-CZ"/>
    </w:rPr>
  </w:style>
  <w:style w:type="character" w:customStyle="1" w:styleId="Nadpis3Char">
    <w:name w:val="Nadpis 3 Char"/>
    <w:basedOn w:val="Standardnpsmoodstavce"/>
    <w:link w:val="Nadpis3"/>
    <w:rsid w:val="00B534B7"/>
    <w:rPr>
      <w:rFonts w:ascii="Times New Roman" w:eastAsia="Times New Roman" w:hAnsi="Times New Roman" w:cs="Times New Roman"/>
      <w:sz w:val="24"/>
      <w:lang w:eastAsia="cs-CZ"/>
    </w:rPr>
  </w:style>
  <w:style w:type="character" w:customStyle="1" w:styleId="Nadpis4Char">
    <w:name w:val="Nadpis 4 Char"/>
    <w:basedOn w:val="Standardnpsmoodstavce"/>
    <w:link w:val="Nadpis4"/>
    <w:rsid w:val="00A7087B"/>
    <w:rPr>
      <w:rFonts w:ascii="Arial" w:eastAsia="Times New Roman" w:hAnsi="Arial" w:cs="Times New Roman"/>
      <w:i/>
      <w:sz w:val="24"/>
      <w:szCs w:val="20"/>
      <w:lang w:eastAsia="cs-CZ"/>
    </w:rPr>
  </w:style>
  <w:style w:type="character" w:customStyle="1" w:styleId="Nadpis5Char">
    <w:name w:val="Nadpis 5 Char"/>
    <w:basedOn w:val="Standardnpsmoodstavce"/>
    <w:link w:val="Nadpis5"/>
    <w:rsid w:val="00A7087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A7087B"/>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A7087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A7087B"/>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A7087B"/>
    <w:rPr>
      <w:rFonts w:ascii="Arial" w:eastAsia="Times New Roman" w:hAnsi="Arial" w:cs="Arial"/>
      <w:lang w:eastAsia="cs-CZ"/>
    </w:rPr>
  </w:style>
  <w:style w:type="paragraph" w:styleId="Zkladntextodsazen">
    <w:name w:val="Body Text Indent"/>
    <w:basedOn w:val="Normln"/>
    <w:link w:val="ZkladntextodsazenChar"/>
    <w:rsid w:val="00A7087B"/>
    <w:pPr>
      <w:spacing w:after="120"/>
      <w:ind w:left="283"/>
    </w:pPr>
  </w:style>
  <w:style w:type="character" w:customStyle="1" w:styleId="ZkladntextodsazenChar">
    <w:name w:val="Základní text odsazený Char"/>
    <w:basedOn w:val="Standardnpsmoodstavce"/>
    <w:link w:val="Zkladntextodsazen"/>
    <w:rsid w:val="00A7087B"/>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A7087B"/>
    <w:pPr>
      <w:autoSpaceDE w:val="0"/>
      <w:autoSpaceDN w:val="0"/>
      <w:ind w:left="0"/>
    </w:pPr>
    <w:rPr>
      <w:sz w:val="22"/>
      <w:szCs w:val="22"/>
    </w:rPr>
  </w:style>
  <w:style w:type="character" w:customStyle="1" w:styleId="Zkladntext3Char">
    <w:name w:val="Základní text 3 Char"/>
    <w:basedOn w:val="Standardnpsmoodstavce"/>
    <w:link w:val="Zkladntext3"/>
    <w:rsid w:val="00A7087B"/>
    <w:rPr>
      <w:rFonts w:ascii="Times New Roman" w:eastAsia="Times New Roman" w:hAnsi="Times New Roman" w:cs="Times New Roman"/>
      <w:lang w:eastAsia="cs-CZ"/>
    </w:rPr>
  </w:style>
  <w:style w:type="paragraph" w:styleId="Zhlav">
    <w:name w:val="header"/>
    <w:basedOn w:val="Normln"/>
    <w:link w:val="ZhlavChar"/>
    <w:uiPriority w:val="99"/>
    <w:rsid w:val="00A7087B"/>
    <w:pPr>
      <w:tabs>
        <w:tab w:val="center" w:pos="4536"/>
        <w:tab w:val="right" w:pos="9072"/>
      </w:tabs>
      <w:ind w:left="0"/>
      <w:jc w:val="left"/>
    </w:pPr>
  </w:style>
  <w:style w:type="character" w:customStyle="1" w:styleId="ZhlavChar">
    <w:name w:val="Záhlaví Char"/>
    <w:basedOn w:val="Standardnpsmoodstavce"/>
    <w:link w:val="Zhlav"/>
    <w:uiPriority w:val="99"/>
    <w:rsid w:val="00A7087B"/>
    <w:rPr>
      <w:rFonts w:ascii="Times New Roman" w:eastAsia="Times New Roman" w:hAnsi="Times New Roman" w:cs="Times New Roman"/>
      <w:sz w:val="24"/>
      <w:szCs w:val="24"/>
      <w:lang w:eastAsia="cs-CZ"/>
    </w:rPr>
  </w:style>
  <w:style w:type="paragraph" w:styleId="Zkladntext">
    <w:name w:val="Body Text"/>
    <w:basedOn w:val="Normln"/>
    <w:link w:val="ZkladntextChar"/>
    <w:rsid w:val="00A7087B"/>
    <w:pPr>
      <w:spacing w:after="120"/>
    </w:pPr>
  </w:style>
  <w:style w:type="character" w:customStyle="1" w:styleId="ZkladntextChar">
    <w:name w:val="Základní text Char"/>
    <w:basedOn w:val="Standardnpsmoodstavce"/>
    <w:link w:val="Zkladntext"/>
    <w:rsid w:val="00A7087B"/>
    <w:rPr>
      <w:rFonts w:ascii="Times New Roman" w:eastAsia="Times New Roman" w:hAnsi="Times New Roman" w:cs="Times New Roman"/>
      <w:sz w:val="24"/>
      <w:szCs w:val="20"/>
      <w:lang w:eastAsia="cs-CZ"/>
    </w:rPr>
  </w:style>
  <w:style w:type="paragraph" w:styleId="Zpat">
    <w:name w:val="footer"/>
    <w:basedOn w:val="Normln"/>
    <w:link w:val="ZpatChar"/>
    <w:rsid w:val="00A7087B"/>
    <w:pPr>
      <w:tabs>
        <w:tab w:val="center" w:pos="4536"/>
        <w:tab w:val="right" w:pos="9072"/>
      </w:tabs>
    </w:pPr>
  </w:style>
  <w:style w:type="character" w:customStyle="1" w:styleId="ZpatChar">
    <w:name w:val="Zápatí Char"/>
    <w:basedOn w:val="Standardnpsmoodstavce"/>
    <w:link w:val="Zpat"/>
    <w:rsid w:val="00A7087B"/>
    <w:rPr>
      <w:rFonts w:ascii="Times New Roman" w:eastAsia="Times New Roman" w:hAnsi="Times New Roman" w:cs="Times New Roman"/>
      <w:sz w:val="24"/>
      <w:szCs w:val="20"/>
      <w:lang w:eastAsia="cs-CZ"/>
    </w:rPr>
  </w:style>
  <w:style w:type="character" w:styleId="slostrnky">
    <w:name w:val="page number"/>
    <w:basedOn w:val="Standardnpsmoodstavce"/>
    <w:rsid w:val="00A7087B"/>
  </w:style>
  <w:style w:type="paragraph" w:customStyle="1" w:styleId="Smlouva-slo">
    <w:name w:val="Smlouva-číslo"/>
    <w:basedOn w:val="Normln"/>
    <w:rsid w:val="00A7087B"/>
    <w:pPr>
      <w:spacing w:before="120" w:line="240" w:lineRule="atLeast"/>
      <w:ind w:left="0"/>
    </w:pPr>
    <w:rPr>
      <w:rFonts w:ascii="Tahoma" w:hAnsi="Tahoma" w:cs="Tahoma"/>
    </w:rPr>
  </w:style>
  <w:style w:type="paragraph" w:customStyle="1" w:styleId="Text11">
    <w:name w:val="Text 1.1."/>
    <w:next w:val="Zkladntext"/>
    <w:rsid w:val="00A7087B"/>
    <w:pPr>
      <w:widowControl w:val="0"/>
      <w:numPr>
        <w:ilvl w:val="1"/>
        <w:numId w:val="3"/>
      </w:numPr>
      <w:spacing w:before="80" w:after="60" w:line="240" w:lineRule="auto"/>
      <w:jc w:val="both"/>
    </w:pPr>
    <w:rPr>
      <w:rFonts w:ascii="Arial" w:eastAsia="Times New Roman" w:hAnsi="Arial" w:cs="Times New Roman"/>
      <w:b/>
      <w:caps/>
      <w:snapToGrid w:val="0"/>
      <w:color w:val="000000"/>
      <w:sz w:val="26"/>
      <w:szCs w:val="20"/>
      <w:lang w:eastAsia="cs-CZ"/>
    </w:rPr>
  </w:style>
  <w:style w:type="paragraph" w:styleId="Odstavecseseznamem">
    <w:name w:val="List Paragraph"/>
    <w:basedOn w:val="Normln"/>
    <w:uiPriority w:val="34"/>
    <w:qFormat/>
    <w:rsid w:val="00B534B7"/>
    <w:pPr>
      <w:ind w:left="720"/>
      <w:contextualSpacing/>
    </w:pPr>
  </w:style>
  <w:style w:type="paragraph" w:styleId="Textbubliny">
    <w:name w:val="Balloon Text"/>
    <w:basedOn w:val="Normln"/>
    <w:link w:val="TextbublinyChar"/>
    <w:uiPriority w:val="99"/>
    <w:semiHidden/>
    <w:unhideWhenUsed/>
    <w:rsid w:val="00086A51"/>
    <w:rPr>
      <w:rFonts w:ascii="Arial" w:hAnsi="Arial" w:cs="Arial"/>
      <w:sz w:val="18"/>
      <w:szCs w:val="18"/>
    </w:rPr>
  </w:style>
  <w:style w:type="character" w:customStyle="1" w:styleId="TextbublinyChar">
    <w:name w:val="Text bubliny Char"/>
    <w:basedOn w:val="Standardnpsmoodstavce"/>
    <w:link w:val="Textbubliny"/>
    <w:uiPriority w:val="99"/>
    <w:semiHidden/>
    <w:rsid w:val="00086A51"/>
    <w:rPr>
      <w:rFonts w:ascii="Arial" w:eastAsia="Times New Roman" w:hAnsi="Arial" w:cs="Arial"/>
      <w:sz w:val="18"/>
      <w:szCs w:val="18"/>
      <w:lang w:eastAsia="cs-CZ"/>
    </w:rPr>
  </w:style>
  <w:style w:type="paragraph" w:customStyle="1" w:styleId="l5">
    <w:name w:val="l5"/>
    <w:basedOn w:val="Normln"/>
    <w:rsid w:val="00A50813"/>
    <w:pPr>
      <w:tabs>
        <w:tab w:val="clear" w:pos="851"/>
      </w:tabs>
      <w:spacing w:before="100" w:beforeAutospacing="1" w:after="100" w:afterAutospacing="1"/>
      <w:ind w:left="0"/>
      <w:jc w:val="left"/>
    </w:pPr>
  </w:style>
  <w:style w:type="character" w:styleId="PromnnHTML">
    <w:name w:val="HTML Variable"/>
    <w:basedOn w:val="Standardnpsmoodstavce"/>
    <w:uiPriority w:val="99"/>
    <w:semiHidden/>
    <w:unhideWhenUsed/>
    <w:rsid w:val="00A50813"/>
    <w:rPr>
      <w:i/>
      <w:iCs/>
    </w:rPr>
  </w:style>
  <w:style w:type="paragraph" w:customStyle="1" w:styleId="l6">
    <w:name w:val="l6"/>
    <w:basedOn w:val="Normln"/>
    <w:rsid w:val="00A50813"/>
    <w:pPr>
      <w:tabs>
        <w:tab w:val="clear" w:pos="851"/>
      </w:tabs>
      <w:spacing w:before="100" w:beforeAutospacing="1" w:after="100" w:afterAutospacing="1"/>
      <w:ind w:left="0"/>
      <w:jc w:val="left"/>
    </w:pPr>
  </w:style>
  <w:style w:type="character" w:styleId="Hypertextovodkaz">
    <w:name w:val="Hyperlink"/>
    <w:basedOn w:val="Standardnpsmoodstavce"/>
    <w:uiPriority w:val="99"/>
    <w:semiHidden/>
    <w:unhideWhenUsed/>
    <w:rsid w:val="00607C02"/>
    <w:rPr>
      <w:color w:val="0000FF"/>
      <w:u w:val="single"/>
    </w:rPr>
  </w:style>
  <w:style w:type="character" w:styleId="Odkaznakoment">
    <w:name w:val="annotation reference"/>
    <w:basedOn w:val="Standardnpsmoodstavce"/>
    <w:uiPriority w:val="99"/>
    <w:semiHidden/>
    <w:unhideWhenUsed/>
    <w:rsid w:val="00D63E32"/>
    <w:rPr>
      <w:sz w:val="16"/>
      <w:szCs w:val="16"/>
    </w:rPr>
  </w:style>
  <w:style w:type="paragraph" w:styleId="Textkomente">
    <w:name w:val="annotation text"/>
    <w:basedOn w:val="Normln"/>
    <w:link w:val="TextkomenteChar"/>
    <w:uiPriority w:val="99"/>
    <w:unhideWhenUsed/>
    <w:rsid w:val="00D63E32"/>
    <w:rPr>
      <w:sz w:val="20"/>
      <w:szCs w:val="20"/>
    </w:rPr>
  </w:style>
  <w:style w:type="character" w:customStyle="1" w:styleId="TextkomenteChar">
    <w:name w:val="Text komentáře Char"/>
    <w:basedOn w:val="Standardnpsmoodstavce"/>
    <w:link w:val="Textkomente"/>
    <w:uiPriority w:val="99"/>
    <w:rsid w:val="00D63E3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E32"/>
    <w:rPr>
      <w:b/>
      <w:bCs/>
    </w:rPr>
  </w:style>
  <w:style w:type="character" w:customStyle="1" w:styleId="PedmtkomenteChar">
    <w:name w:val="Předmět komentáře Char"/>
    <w:basedOn w:val="TextkomenteChar"/>
    <w:link w:val="Pedmtkomente"/>
    <w:uiPriority w:val="99"/>
    <w:semiHidden/>
    <w:rsid w:val="00D63E32"/>
    <w:rPr>
      <w:rFonts w:ascii="Times New Roman" w:eastAsia="Times New Roman" w:hAnsi="Times New Roman" w:cs="Times New Roman"/>
      <w:b/>
      <w:bCs/>
      <w:sz w:val="20"/>
      <w:szCs w:val="20"/>
      <w:lang w:eastAsia="cs-CZ"/>
    </w:rPr>
  </w:style>
  <w:style w:type="paragraph" w:styleId="Revize">
    <w:name w:val="Revision"/>
    <w:hidden/>
    <w:uiPriority w:val="99"/>
    <w:semiHidden/>
    <w:rsid w:val="00AC193B"/>
    <w:pPr>
      <w:spacing w:after="0" w:line="240" w:lineRule="auto"/>
    </w:pPr>
    <w:rPr>
      <w:rFonts w:ascii="Times New Roman" w:eastAsia="Times New Roman" w:hAnsi="Times New Roman" w:cs="Times New Roman"/>
      <w:sz w:val="24"/>
      <w:szCs w:val="24"/>
      <w:lang w:eastAsia="cs-CZ"/>
    </w:rPr>
  </w:style>
  <w:style w:type="character" w:customStyle="1" w:styleId="A2">
    <w:name w:val="A2"/>
    <w:uiPriority w:val="99"/>
    <w:rsid w:val="001F6B6A"/>
    <w:rPr>
      <w:rFonts w:cs="StoneSanItcTEEBol"/>
      <w:color w:val="000000"/>
    </w:rPr>
  </w:style>
  <w:style w:type="table" w:styleId="Mkatabulky">
    <w:name w:val="Table Grid"/>
    <w:basedOn w:val="Normlntabulka"/>
    <w:uiPriority w:val="59"/>
    <w:rsid w:val="00A4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2760">
      <w:bodyDiv w:val="1"/>
      <w:marLeft w:val="0"/>
      <w:marRight w:val="0"/>
      <w:marTop w:val="0"/>
      <w:marBottom w:val="0"/>
      <w:divBdr>
        <w:top w:val="none" w:sz="0" w:space="0" w:color="auto"/>
        <w:left w:val="none" w:sz="0" w:space="0" w:color="auto"/>
        <w:bottom w:val="none" w:sz="0" w:space="0" w:color="auto"/>
        <w:right w:val="none" w:sz="0" w:space="0" w:color="auto"/>
      </w:divBdr>
    </w:div>
    <w:div w:id="353262487">
      <w:bodyDiv w:val="1"/>
      <w:marLeft w:val="0"/>
      <w:marRight w:val="0"/>
      <w:marTop w:val="0"/>
      <w:marBottom w:val="0"/>
      <w:divBdr>
        <w:top w:val="none" w:sz="0" w:space="0" w:color="auto"/>
        <w:left w:val="none" w:sz="0" w:space="0" w:color="auto"/>
        <w:bottom w:val="none" w:sz="0" w:space="0" w:color="auto"/>
        <w:right w:val="none" w:sz="0" w:space="0" w:color="auto"/>
      </w:divBdr>
    </w:div>
    <w:div w:id="741636523">
      <w:bodyDiv w:val="1"/>
      <w:marLeft w:val="0"/>
      <w:marRight w:val="0"/>
      <w:marTop w:val="0"/>
      <w:marBottom w:val="0"/>
      <w:divBdr>
        <w:top w:val="none" w:sz="0" w:space="0" w:color="auto"/>
        <w:left w:val="none" w:sz="0" w:space="0" w:color="auto"/>
        <w:bottom w:val="none" w:sz="0" w:space="0" w:color="auto"/>
        <w:right w:val="none" w:sz="0" w:space="0" w:color="auto"/>
      </w:divBdr>
    </w:div>
    <w:div w:id="767000487">
      <w:bodyDiv w:val="1"/>
      <w:marLeft w:val="0"/>
      <w:marRight w:val="0"/>
      <w:marTop w:val="0"/>
      <w:marBottom w:val="0"/>
      <w:divBdr>
        <w:top w:val="none" w:sz="0" w:space="0" w:color="auto"/>
        <w:left w:val="none" w:sz="0" w:space="0" w:color="auto"/>
        <w:bottom w:val="none" w:sz="0" w:space="0" w:color="auto"/>
        <w:right w:val="none" w:sz="0" w:space="0" w:color="auto"/>
      </w:divBdr>
    </w:div>
    <w:div w:id="862288256">
      <w:bodyDiv w:val="1"/>
      <w:marLeft w:val="0"/>
      <w:marRight w:val="0"/>
      <w:marTop w:val="0"/>
      <w:marBottom w:val="0"/>
      <w:divBdr>
        <w:top w:val="none" w:sz="0" w:space="0" w:color="auto"/>
        <w:left w:val="none" w:sz="0" w:space="0" w:color="auto"/>
        <w:bottom w:val="none" w:sz="0" w:space="0" w:color="auto"/>
        <w:right w:val="none" w:sz="0" w:space="0" w:color="auto"/>
      </w:divBdr>
    </w:div>
    <w:div w:id="881092941">
      <w:bodyDiv w:val="1"/>
      <w:marLeft w:val="0"/>
      <w:marRight w:val="0"/>
      <w:marTop w:val="0"/>
      <w:marBottom w:val="0"/>
      <w:divBdr>
        <w:top w:val="none" w:sz="0" w:space="0" w:color="auto"/>
        <w:left w:val="none" w:sz="0" w:space="0" w:color="auto"/>
        <w:bottom w:val="none" w:sz="0" w:space="0" w:color="auto"/>
        <w:right w:val="none" w:sz="0" w:space="0" w:color="auto"/>
      </w:divBdr>
    </w:div>
    <w:div w:id="920791663">
      <w:bodyDiv w:val="1"/>
      <w:marLeft w:val="0"/>
      <w:marRight w:val="0"/>
      <w:marTop w:val="0"/>
      <w:marBottom w:val="0"/>
      <w:divBdr>
        <w:top w:val="none" w:sz="0" w:space="0" w:color="auto"/>
        <w:left w:val="none" w:sz="0" w:space="0" w:color="auto"/>
        <w:bottom w:val="none" w:sz="0" w:space="0" w:color="auto"/>
        <w:right w:val="none" w:sz="0" w:space="0" w:color="auto"/>
      </w:divBdr>
    </w:div>
    <w:div w:id="1153837913">
      <w:bodyDiv w:val="1"/>
      <w:marLeft w:val="0"/>
      <w:marRight w:val="0"/>
      <w:marTop w:val="0"/>
      <w:marBottom w:val="0"/>
      <w:divBdr>
        <w:top w:val="none" w:sz="0" w:space="0" w:color="auto"/>
        <w:left w:val="none" w:sz="0" w:space="0" w:color="auto"/>
        <w:bottom w:val="none" w:sz="0" w:space="0" w:color="auto"/>
        <w:right w:val="none" w:sz="0" w:space="0" w:color="auto"/>
      </w:divBdr>
    </w:div>
    <w:div w:id="1163160017">
      <w:bodyDiv w:val="1"/>
      <w:marLeft w:val="0"/>
      <w:marRight w:val="0"/>
      <w:marTop w:val="0"/>
      <w:marBottom w:val="0"/>
      <w:divBdr>
        <w:top w:val="none" w:sz="0" w:space="0" w:color="auto"/>
        <w:left w:val="none" w:sz="0" w:space="0" w:color="auto"/>
        <w:bottom w:val="none" w:sz="0" w:space="0" w:color="auto"/>
        <w:right w:val="none" w:sz="0" w:space="0" w:color="auto"/>
      </w:divBdr>
    </w:div>
    <w:div w:id="1164125193">
      <w:bodyDiv w:val="1"/>
      <w:marLeft w:val="0"/>
      <w:marRight w:val="0"/>
      <w:marTop w:val="0"/>
      <w:marBottom w:val="0"/>
      <w:divBdr>
        <w:top w:val="none" w:sz="0" w:space="0" w:color="auto"/>
        <w:left w:val="none" w:sz="0" w:space="0" w:color="auto"/>
        <w:bottom w:val="none" w:sz="0" w:space="0" w:color="auto"/>
        <w:right w:val="none" w:sz="0" w:space="0" w:color="auto"/>
      </w:divBdr>
    </w:div>
    <w:div w:id="1261599676">
      <w:bodyDiv w:val="1"/>
      <w:marLeft w:val="0"/>
      <w:marRight w:val="0"/>
      <w:marTop w:val="0"/>
      <w:marBottom w:val="0"/>
      <w:divBdr>
        <w:top w:val="none" w:sz="0" w:space="0" w:color="auto"/>
        <w:left w:val="none" w:sz="0" w:space="0" w:color="auto"/>
        <w:bottom w:val="none" w:sz="0" w:space="0" w:color="auto"/>
        <w:right w:val="none" w:sz="0" w:space="0" w:color="auto"/>
      </w:divBdr>
      <w:divsChild>
        <w:div w:id="1972398990">
          <w:marLeft w:val="360"/>
          <w:marRight w:val="0"/>
          <w:marTop w:val="200"/>
          <w:marBottom w:val="120"/>
          <w:divBdr>
            <w:top w:val="none" w:sz="0" w:space="0" w:color="auto"/>
            <w:left w:val="none" w:sz="0" w:space="0" w:color="auto"/>
            <w:bottom w:val="none" w:sz="0" w:space="0" w:color="auto"/>
            <w:right w:val="none" w:sz="0" w:space="0" w:color="auto"/>
          </w:divBdr>
        </w:div>
      </w:divsChild>
    </w:div>
    <w:div w:id="1444880119">
      <w:bodyDiv w:val="1"/>
      <w:marLeft w:val="0"/>
      <w:marRight w:val="0"/>
      <w:marTop w:val="0"/>
      <w:marBottom w:val="0"/>
      <w:divBdr>
        <w:top w:val="none" w:sz="0" w:space="0" w:color="auto"/>
        <w:left w:val="none" w:sz="0" w:space="0" w:color="auto"/>
        <w:bottom w:val="none" w:sz="0" w:space="0" w:color="auto"/>
        <w:right w:val="none" w:sz="0" w:space="0" w:color="auto"/>
      </w:divBdr>
    </w:div>
    <w:div w:id="1854807418">
      <w:bodyDiv w:val="1"/>
      <w:marLeft w:val="0"/>
      <w:marRight w:val="0"/>
      <w:marTop w:val="0"/>
      <w:marBottom w:val="0"/>
      <w:divBdr>
        <w:top w:val="none" w:sz="0" w:space="0" w:color="auto"/>
        <w:left w:val="none" w:sz="0" w:space="0" w:color="auto"/>
        <w:bottom w:val="none" w:sz="0" w:space="0" w:color="auto"/>
        <w:right w:val="none" w:sz="0" w:space="0" w:color="auto"/>
      </w:divBdr>
    </w:div>
    <w:div w:id="21217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78C8-279C-4B3D-8F70-A1582422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2147</Words>
  <Characters>12668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SATUM CZECH s.r.o.</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Remetančíková</dc:creator>
  <cp:lastModifiedBy>Jolana Kladziwová</cp:lastModifiedBy>
  <cp:revision>2</cp:revision>
  <cp:lastPrinted>2024-05-21T08:17:00Z</cp:lastPrinted>
  <dcterms:created xsi:type="dcterms:W3CDTF">2025-08-18T07:38:00Z</dcterms:created>
  <dcterms:modified xsi:type="dcterms:W3CDTF">2025-08-18T07:38:00Z</dcterms:modified>
</cp:coreProperties>
</file>